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A58831" w14:textId="77777777" w:rsidR="001E014D" w:rsidRDefault="001E014D" w:rsidP="002630F4">
      <w:pPr>
        <w:rPr>
          <w:b/>
          <w:bCs/>
          <w:lang w:val="en-GB"/>
        </w:rPr>
      </w:pPr>
      <w:r>
        <w:rPr>
          <w:b/>
          <w:bCs/>
          <w:lang w:val="en-GB"/>
        </w:rPr>
        <w:t>Supplementary Information</w:t>
      </w:r>
    </w:p>
    <w:p w14:paraId="16666C50" w14:textId="77777777" w:rsidR="001E014D" w:rsidRPr="00EB4082" w:rsidRDefault="001E014D" w:rsidP="002630F4">
      <w:pPr>
        <w:rPr>
          <w:b/>
          <w:bCs/>
          <w:lang w:val="en-GB"/>
        </w:rPr>
      </w:pPr>
      <w:r w:rsidRPr="00EB4082">
        <w:rPr>
          <w:b/>
          <w:bCs/>
          <w:lang w:val="en-GB"/>
        </w:rPr>
        <w:t>S.1: Synthetic genetic sequences used in this work</w:t>
      </w:r>
    </w:p>
    <w:p w14:paraId="7255E87D" w14:textId="77777777" w:rsidR="001E014D" w:rsidRPr="00EB4082" w:rsidRDefault="001E014D" w:rsidP="002630F4">
      <w:pPr>
        <w:rPr>
          <w:sz w:val="20"/>
          <w:szCs w:val="20"/>
          <w:lang w:val="en-GB"/>
        </w:rPr>
      </w:pPr>
      <w:r w:rsidRPr="002E1A50">
        <w:rPr>
          <w:b/>
          <w:bCs/>
          <w:sz w:val="20"/>
          <w:szCs w:val="20"/>
          <w:lang w:val="en-GB"/>
        </w:rPr>
        <w:t>Supplementary table S.1.1:</w:t>
      </w:r>
      <w:r w:rsidRPr="00EB4082">
        <w:rPr>
          <w:sz w:val="20"/>
          <w:szCs w:val="20"/>
          <w:lang w:val="en-GB"/>
        </w:rPr>
        <w:t xml:space="preserve"> Guide RNA spacer sequences used in this work.</w:t>
      </w:r>
    </w:p>
    <w:tbl>
      <w:tblPr>
        <w:tblStyle w:val="Tabelraster"/>
        <w:tblW w:w="0" w:type="auto"/>
        <w:tblLook w:val="04A0" w:firstRow="1" w:lastRow="0" w:firstColumn="1" w:lastColumn="0" w:noHBand="0" w:noVBand="1"/>
      </w:tblPr>
      <w:tblGrid>
        <w:gridCol w:w="3005"/>
        <w:gridCol w:w="2803"/>
      </w:tblGrid>
      <w:tr w:rsidR="001E014D" w14:paraId="6E4BBF58" w14:textId="77777777" w:rsidTr="005B36C5">
        <w:tc>
          <w:tcPr>
            <w:tcW w:w="3005" w:type="dxa"/>
          </w:tcPr>
          <w:p w14:paraId="64C502C9" w14:textId="77777777" w:rsidR="001E014D" w:rsidRPr="00182F97" w:rsidRDefault="001E014D" w:rsidP="005B36C5">
            <w:pPr>
              <w:rPr>
                <w:b/>
                <w:lang w:val="en-GB"/>
              </w:rPr>
            </w:pPr>
            <w:r w:rsidRPr="00182F97">
              <w:rPr>
                <w:b/>
                <w:lang w:val="en-GB"/>
              </w:rPr>
              <w:t>Target</w:t>
            </w:r>
          </w:p>
        </w:tc>
        <w:tc>
          <w:tcPr>
            <w:tcW w:w="2802" w:type="dxa"/>
          </w:tcPr>
          <w:p w14:paraId="7508D120" w14:textId="77777777" w:rsidR="001E014D" w:rsidRPr="00182F97" w:rsidRDefault="001E014D" w:rsidP="005B36C5">
            <w:pPr>
              <w:rPr>
                <w:b/>
                <w:lang w:val="en-GB"/>
              </w:rPr>
            </w:pPr>
            <w:r w:rsidRPr="00182F97">
              <w:rPr>
                <w:b/>
                <w:lang w:val="en-GB"/>
              </w:rPr>
              <w:t>20 nt spacer sequence</w:t>
            </w:r>
          </w:p>
        </w:tc>
      </w:tr>
      <w:tr w:rsidR="001E014D" w14:paraId="68486D1B" w14:textId="77777777" w:rsidTr="005B36C5">
        <w:tc>
          <w:tcPr>
            <w:tcW w:w="3005" w:type="dxa"/>
          </w:tcPr>
          <w:p w14:paraId="6AF88395" w14:textId="77777777" w:rsidR="001E014D" w:rsidRDefault="001E014D" w:rsidP="005B36C5">
            <w:pPr>
              <w:rPr>
                <w:lang w:val="en-GB"/>
              </w:rPr>
            </w:pPr>
            <w:r>
              <w:rPr>
                <w:lang w:val="en-GB"/>
              </w:rPr>
              <w:t>Stoplight construct</w:t>
            </w:r>
          </w:p>
        </w:tc>
        <w:tc>
          <w:tcPr>
            <w:tcW w:w="2802" w:type="dxa"/>
          </w:tcPr>
          <w:p w14:paraId="5ADCEBA1" w14:textId="77777777" w:rsidR="001E014D" w:rsidRDefault="001E014D" w:rsidP="005B36C5">
            <w:pPr>
              <w:rPr>
                <w:lang w:val="en-GB"/>
              </w:rPr>
            </w:pPr>
            <w:r>
              <w:rPr>
                <w:rFonts w:ascii="Tahoma" w:hAnsi="Tahoma" w:cs="Tahoma"/>
                <w:color w:val="000000"/>
                <w:sz w:val="20"/>
                <w:szCs w:val="20"/>
                <w:shd w:val="clear" w:color="auto" w:fill="FFFFFF"/>
                <w:lang w:val="en-GB"/>
              </w:rPr>
              <w:t>GGACAGUACUCCGCUCGAGU</w:t>
            </w:r>
          </w:p>
        </w:tc>
      </w:tr>
      <w:tr w:rsidR="001E014D" w14:paraId="69822A39" w14:textId="77777777" w:rsidTr="005B36C5">
        <w:trPr>
          <w:trHeight w:val="243"/>
        </w:trPr>
        <w:tc>
          <w:tcPr>
            <w:tcW w:w="3005" w:type="dxa"/>
          </w:tcPr>
          <w:p w14:paraId="3D8E9B0C" w14:textId="77777777" w:rsidR="001E014D" w:rsidRDefault="001E014D" w:rsidP="005B36C5">
            <w:pPr>
              <w:rPr>
                <w:lang w:val="en-GB"/>
              </w:rPr>
            </w:pPr>
            <w:r>
              <w:rPr>
                <w:lang w:val="en-GB"/>
              </w:rPr>
              <w:t>EGFP construct</w:t>
            </w:r>
          </w:p>
        </w:tc>
        <w:tc>
          <w:tcPr>
            <w:tcW w:w="2802" w:type="dxa"/>
          </w:tcPr>
          <w:p w14:paraId="22DEE6F7" w14:textId="77777777" w:rsidR="001E014D" w:rsidRDefault="001E014D" w:rsidP="005B36C5">
            <w:pPr>
              <w:rPr>
                <w:rFonts w:ascii="Calibri" w:hAnsi="Calibri" w:cs="Calibri"/>
                <w:lang w:val="en-GB"/>
              </w:rPr>
            </w:pPr>
            <w:r>
              <w:rPr>
                <w:rFonts w:ascii="Calibri" w:hAnsi="Calibri" w:cs="Calibri"/>
                <w:lang w:val="en-GB"/>
              </w:rPr>
              <w:t>GCUGAAGCACUGCACGCCGU</w:t>
            </w:r>
          </w:p>
          <w:p w14:paraId="5C4F4FC5" w14:textId="77777777" w:rsidR="001E014D" w:rsidRDefault="001E014D" w:rsidP="005B36C5">
            <w:pPr>
              <w:rPr>
                <w:lang w:val="en-GB"/>
              </w:rPr>
            </w:pPr>
          </w:p>
          <w:p w14:paraId="69B421B0" w14:textId="77777777" w:rsidR="001E014D" w:rsidRDefault="001E014D" w:rsidP="005B36C5">
            <w:pPr>
              <w:rPr>
                <w:lang w:val="en-GB"/>
              </w:rPr>
            </w:pPr>
          </w:p>
          <w:p w14:paraId="3E7D5712" w14:textId="77777777" w:rsidR="001E014D" w:rsidRDefault="001E014D" w:rsidP="005B36C5">
            <w:pPr>
              <w:rPr>
                <w:lang w:val="en-GB"/>
              </w:rPr>
            </w:pPr>
          </w:p>
        </w:tc>
      </w:tr>
    </w:tbl>
    <w:p w14:paraId="419AC0FF" w14:textId="77777777" w:rsidR="001E014D" w:rsidRDefault="001E014D" w:rsidP="002630F4">
      <w:pPr>
        <w:rPr>
          <w:lang w:val="en-GB"/>
        </w:rPr>
      </w:pPr>
    </w:p>
    <w:p w14:paraId="68EACCE1" w14:textId="77777777" w:rsidR="001E014D" w:rsidRPr="00EB4082" w:rsidRDefault="001E014D" w:rsidP="002630F4">
      <w:pPr>
        <w:rPr>
          <w:sz w:val="20"/>
          <w:szCs w:val="20"/>
          <w:lang w:val="en-GB"/>
        </w:rPr>
      </w:pPr>
      <w:r w:rsidRPr="614F472E">
        <w:rPr>
          <w:b/>
          <w:bCs/>
          <w:sz w:val="20"/>
          <w:szCs w:val="20"/>
          <w:lang w:val="en-GB"/>
        </w:rPr>
        <w:t>Supplementary table S.1.2:</w:t>
      </w:r>
      <w:r w:rsidRPr="614F472E">
        <w:rPr>
          <w:sz w:val="20"/>
          <w:szCs w:val="20"/>
          <w:lang w:val="en-GB"/>
        </w:rPr>
        <w:t xml:space="preserve"> PCR primers used for amplification of the Stoplight and EGFP loci, for T7E1 and TIDE as specified in the primer code.</w:t>
      </w:r>
    </w:p>
    <w:tbl>
      <w:tblPr>
        <w:tblStyle w:val="Tabelraster"/>
        <w:tblW w:w="0" w:type="auto"/>
        <w:tblLook w:val="04A0" w:firstRow="1" w:lastRow="0" w:firstColumn="1" w:lastColumn="0" w:noHBand="0" w:noVBand="1"/>
      </w:tblPr>
      <w:tblGrid>
        <w:gridCol w:w="4675"/>
        <w:gridCol w:w="4675"/>
      </w:tblGrid>
      <w:tr w:rsidR="001E014D" w14:paraId="43E19440" w14:textId="77777777" w:rsidTr="614F472E">
        <w:tc>
          <w:tcPr>
            <w:tcW w:w="4675" w:type="dxa"/>
          </w:tcPr>
          <w:p w14:paraId="12C2B034" w14:textId="77777777" w:rsidR="001E014D" w:rsidRPr="00182F97" w:rsidRDefault="001E014D" w:rsidP="005B36C5">
            <w:pPr>
              <w:rPr>
                <w:b/>
                <w:bCs/>
              </w:rPr>
            </w:pPr>
            <w:r w:rsidRPr="00182F97">
              <w:rPr>
                <w:b/>
                <w:bCs/>
              </w:rPr>
              <w:t>Primer code</w:t>
            </w:r>
          </w:p>
        </w:tc>
        <w:tc>
          <w:tcPr>
            <w:tcW w:w="4675" w:type="dxa"/>
          </w:tcPr>
          <w:p w14:paraId="51EE73E9" w14:textId="77777777" w:rsidR="001E014D" w:rsidRPr="00182F97" w:rsidRDefault="001E014D" w:rsidP="005B36C5">
            <w:pPr>
              <w:rPr>
                <w:b/>
                <w:bCs/>
              </w:rPr>
            </w:pPr>
            <w:r w:rsidRPr="00182F97">
              <w:rPr>
                <w:b/>
                <w:bCs/>
              </w:rPr>
              <w:t>Sequence 5’ – 3’</w:t>
            </w:r>
          </w:p>
        </w:tc>
      </w:tr>
      <w:tr w:rsidR="001E014D" w14:paraId="27A27CBF" w14:textId="77777777" w:rsidTr="614F472E">
        <w:tc>
          <w:tcPr>
            <w:tcW w:w="4675" w:type="dxa"/>
          </w:tcPr>
          <w:p w14:paraId="40013697" w14:textId="77777777" w:rsidR="001E014D" w:rsidRDefault="001E014D" w:rsidP="005B36C5">
            <w:r>
              <w:t>Stoplight (T7E1) Forward</w:t>
            </w:r>
          </w:p>
        </w:tc>
        <w:tc>
          <w:tcPr>
            <w:tcW w:w="4675" w:type="dxa"/>
          </w:tcPr>
          <w:p w14:paraId="09980272" w14:textId="77777777" w:rsidR="001E014D" w:rsidRDefault="001E014D" w:rsidP="005B36C5">
            <w:r>
              <w:rPr>
                <w:rFonts w:ascii="Arial" w:eastAsia="Times New Roman" w:hAnsi="Arial" w:cs="Arial"/>
                <w:color w:val="222222"/>
                <w:sz w:val="20"/>
                <w:szCs w:val="20"/>
              </w:rPr>
              <w:t>GAAGGGCGAGATCAAGCAGA</w:t>
            </w:r>
          </w:p>
        </w:tc>
      </w:tr>
      <w:tr w:rsidR="001E014D" w14:paraId="1616396E" w14:textId="77777777" w:rsidTr="614F472E">
        <w:trPr>
          <w:trHeight w:val="247"/>
        </w:trPr>
        <w:tc>
          <w:tcPr>
            <w:tcW w:w="4675" w:type="dxa"/>
          </w:tcPr>
          <w:p w14:paraId="1F98811B" w14:textId="77777777" w:rsidR="001E014D" w:rsidRDefault="001E014D" w:rsidP="005B36C5">
            <w:r>
              <w:t xml:space="preserve">Stoplight (T7E1) Reverse </w:t>
            </w:r>
          </w:p>
        </w:tc>
        <w:tc>
          <w:tcPr>
            <w:tcW w:w="4675" w:type="dxa"/>
          </w:tcPr>
          <w:p w14:paraId="389DBADB" w14:textId="77777777" w:rsidR="001E014D" w:rsidRDefault="001E014D" w:rsidP="005B36C5">
            <w:r>
              <w:rPr>
                <w:rFonts w:ascii="Arial" w:eastAsia="Times New Roman" w:hAnsi="Arial" w:cs="Arial"/>
                <w:color w:val="222222"/>
                <w:sz w:val="20"/>
                <w:szCs w:val="20"/>
              </w:rPr>
              <w:t>GGTCTTGTAGTTGCCGTCGT</w:t>
            </w:r>
          </w:p>
        </w:tc>
      </w:tr>
      <w:tr w:rsidR="001E014D" w14:paraId="58D983D8" w14:textId="77777777" w:rsidTr="614F472E">
        <w:tc>
          <w:tcPr>
            <w:tcW w:w="4675" w:type="dxa"/>
          </w:tcPr>
          <w:p w14:paraId="6DA5EA94" w14:textId="77777777" w:rsidR="001E014D" w:rsidRDefault="001E014D" w:rsidP="005B36C5">
            <w:r>
              <w:t>Stoplight (TIDE) Forward</w:t>
            </w:r>
          </w:p>
        </w:tc>
        <w:tc>
          <w:tcPr>
            <w:tcW w:w="4675" w:type="dxa"/>
          </w:tcPr>
          <w:p w14:paraId="112523C2" w14:textId="77777777" w:rsidR="001E014D" w:rsidRDefault="001E014D" w:rsidP="005B36C5">
            <w:r>
              <w:rPr>
                <w:rFonts w:ascii="Arial" w:eastAsia="Times New Roman" w:hAnsi="Arial" w:cs="Arial"/>
                <w:color w:val="222222"/>
                <w:sz w:val="20"/>
                <w:szCs w:val="20"/>
              </w:rPr>
              <w:t>GGACGGCGAGTTCATCTACA</w:t>
            </w:r>
          </w:p>
        </w:tc>
      </w:tr>
      <w:tr w:rsidR="001E014D" w14:paraId="18941F06" w14:textId="77777777" w:rsidTr="614F472E">
        <w:tc>
          <w:tcPr>
            <w:tcW w:w="4675" w:type="dxa"/>
          </w:tcPr>
          <w:p w14:paraId="2BA3E26B" w14:textId="77777777" w:rsidR="001E014D" w:rsidRDefault="001E014D" w:rsidP="005B36C5">
            <w:r>
              <w:t>Stoplight (TIDE) Reverse</w:t>
            </w:r>
          </w:p>
        </w:tc>
        <w:tc>
          <w:tcPr>
            <w:tcW w:w="4675" w:type="dxa"/>
          </w:tcPr>
          <w:p w14:paraId="4931DA65" w14:textId="77777777" w:rsidR="001E014D" w:rsidRDefault="001E014D" w:rsidP="005B36C5">
            <w:r>
              <w:rPr>
                <w:rFonts w:ascii="Arial" w:eastAsia="Times New Roman" w:hAnsi="Arial" w:cs="Arial"/>
                <w:color w:val="222222"/>
                <w:sz w:val="20"/>
                <w:szCs w:val="20"/>
              </w:rPr>
              <w:t>CTTCATGTGGTCGGGGTAGC</w:t>
            </w:r>
          </w:p>
        </w:tc>
      </w:tr>
      <w:tr w:rsidR="001E014D" w14:paraId="24CF8A49" w14:textId="77777777" w:rsidTr="614F472E">
        <w:tc>
          <w:tcPr>
            <w:tcW w:w="4675" w:type="dxa"/>
          </w:tcPr>
          <w:p w14:paraId="0576E3DA" w14:textId="77777777" w:rsidR="001E014D" w:rsidRDefault="001E014D" w:rsidP="005B36C5">
            <w:r>
              <w:t>EGFP (T7E1) Forward</w:t>
            </w:r>
          </w:p>
        </w:tc>
        <w:tc>
          <w:tcPr>
            <w:tcW w:w="4675" w:type="dxa"/>
          </w:tcPr>
          <w:p w14:paraId="3D0FDE4A" w14:textId="77777777" w:rsidR="001E014D" w:rsidRDefault="001E014D" w:rsidP="005B36C5">
            <w:r>
              <w:t>CGTAAACGGCCACAAGTTCA</w:t>
            </w:r>
          </w:p>
        </w:tc>
      </w:tr>
      <w:tr w:rsidR="001E014D" w14:paraId="7EFAB38D" w14:textId="77777777" w:rsidTr="614F472E">
        <w:tc>
          <w:tcPr>
            <w:tcW w:w="4675" w:type="dxa"/>
          </w:tcPr>
          <w:p w14:paraId="48F8DE59" w14:textId="77777777" w:rsidR="001E014D" w:rsidRDefault="001E014D" w:rsidP="005B36C5">
            <w:r>
              <w:t>EGFP (T7E1) Reverse</w:t>
            </w:r>
          </w:p>
        </w:tc>
        <w:tc>
          <w:tcPr>
            <w:tcW w:w="4675" w:type="dxa"/>
          </w:tcPr>
          <w:p w14:paraId="0E76CF48" w14:textId="77777777" w:rsidR="001E014D" w:rsidRDefault="001E014D" w:rsidP="005B36C5">
            <w:r>
              <w:t>GTCCATGCCGAGAGTGATCC</w:t>
            </w:r>
          </w:p>
        </w:tc>
      </w:tr>
    </w:tbl>
    <w:p w14:paraId="72C7237A" w14:textId="77777777" w:rsidR="001E014D" w:rsidRDefault="001E014D" w:rsidP="002630F4"/>
    <w:p w14:paraId="5CA8F7E1" w14:textId="77777777" w:rsidR="001E014D" w:rsidRPr="00EB4082" w:rsidRDefault="001E014D" w:rsidP="002630F4">
      <w:pPr>
        <w:rPr>
          <w:sz w:val="20"/>
          <w:szCs w:val="20"/>
          <w:lang w:val="en-GB"/>
        </w:rPr>
      </w:pPr>
      <w:r w:rsidRPr="614F472E">
        <w:rPr>
          <w:b/>
          <w:bCs/>
          <w:sz w:val="20"/>
          <w:szCs w:val="20"/>
          <w:lang w:val="en-GB"/>
        </w:rPr>
        <w:t>Supplementary table S.1.3:</w:t>
      </w:r>
      <w:r w:rsidRPr="614F472E">
        <w:rPr>
          <w:sz w:val="20"/>
          <w:szCs w:val="20"/>
          <w:lang w:val="en-GB"/>
        </w:rPr>
        <w:t xml:space="preserve"> Template DNA used in the EGFP to BFP mutation assay. DNA mismatches, encoding the mutation, are highlighted blue. The PAM sequence, needed for Cas9 activity, is additionally mutated in this sequence.</w:t>
      </w:r>
    </w:p>
    <w:tbl>
      <w:tblPr>
        <w:tblStyle w:val="Tabelraster"/>
        <w:tblW w:w="9351" w:type="dxa"/>
        <w:tblLayout w:type="fixed"/>
        <w:tblLook w:val="04A0" w:firstRow="1" w:lastRow="0" w:firstColumn="1" w:lastColumn="0" w:noHBand="0" w:noVBand="1"/>
      </w:tblPr>
      <w:tblGrid>
        <w:gridCol w:w="1838"/>
        <w:gridCol w:w="7513"/>
      </w:tblGrid>
      <w:tr w:rsidR="001E014D" w14:paraId="2E6B5E6D" w14:textId="77777777" w:rsidTr="00EE4668">
        <w:tc>
          <w:tcPr>
            <w:tcW w:w="1838" w:type="dxa"/>
          </w:tcPr>
          <w:p w14:paraId="593A569E" w14:textId="77777777" w:rsidR="001E014D" w:rsidRDefault="001E014D" w:rsidP="005B36C5">
            <w:pPr>
              <w:rPr>
                <w:lang w:val="en-GB"/>
              </w:rPr>
            </w:pPr>
            <w:r>
              <w:rPr>
                <w:lang w:val="en-GB"/>
              </w:rPr>
              <w:t>86 bp (40bp Homology arms)</w:t>
            </w:r>
          </w:p>
        </w:tc>
        <w:tc>
          <w:tcPr>
            <w:tcW w:w="7513" w:type="dxa"/>
          </w:tcPr>
          <w:p w14:paraId="2E19CA1C" w14:textId="77777777" w:rsidR="001E014D" w:rsidRDefault="001E014D" w:rsidP="005B36C5">
            <w:pPr>
              <w:rPr>
                <w:lang w:val="en-GB"/>
              </w:rPr>
            </w:pPr>
            <w:r w:rsidRPr="00EE4668">
              <w:rPr>
                <w:caps/>
                <w:lang w:val="en-GB"/>
              </w:rPr>
              <w:t>caagctgcccgtgccctggcccaccctcgtgaccaccctg</w:t>
            </w:r>
            <w:r w:rsidRPr="008634F2">
              <w:rPr>
                <w:lang w:val="en-GB"/>
              </w:rPr>
              <w:t>A</w:t>
            </w:r>
            <w:r w:rsidRPr="00A03011">
              <w:rPr>
                <w:highlight w:val="cyan"/>
                <w:lang w:val="en-GB"/>
              </w:rPr>
              <w:t>G</w:t>
            </w:r>
            <w:r w:rsidRPr="008634F2">
              <w:rPr>
                <w:lang w:val="en-GB"/>
              </w:rPr>
              <w:t>C</w:t>
            </w:r>
            <w:r w:rsidRPr="00A03011">
              <w:rPr>
                <w:highlight w:val="cyan"/>
                <w:lang w:val="en-GB"/>
              </w:rPr>
              <w:t>C</w:t>
            </w:r>
            <w:r w:rsidRPr="008634F2">
              <w:rPr>
                <w:lang w:val="en-GB"/>
              </w:rPr>
              <w:t>AC</w:t>
            </w:r>
            <w:r w:rsidRPr="00EE4668">
              <w:rPr>
                <w:caps/>
                <w:lang w:val="en-GB"/>
              </w:rPr>
              <w:t>ggcgtgcagtgcttcagccgctaccccgaccacatgaagc</w:t>
            </w:r>
          </w:p>
        </w:tc>
      </w:tr>
    </w:tbl>
    <w:p w14:paraId="681255A9" w14:textId="77777777" w:rsidR="001E014D" w:rsidRDefault="001E014D" w:rsidP="002630F4">
      <w:pPr>
        <w:rPr>
          <w:lang w:val="en-GB"/>
        </w:rPr>
      </w:pPr>
    </w:p>
    <w:p w14:paraId="226D1AF9" w14:textId="77777777" w:rsidR="001E014D" w:rsidRDefault="001E014D" w:rsidP="002630F4">
      <w:pPr>
        <w:rPr>
          <w:b/>
          <w:bCs/>
          <w:lang w:val="en-GB"/>
        </w:rPr>
      </w:pPr>
      <w:r>
        <w:rPr>
          <w:b/>
          <w:bCs/>
          <w:lang w:val="en-GB"/>
        </w:rPr>
        <w:br w:type="page"/>
      </w:r>
    </w:p>
    <w:p w14:paraId="4EB08F7C" w14:textId="77777777" w:rsidR="001E014D" w:rsidRPr="00467FB7" w:rsidRDefault="001E014D" w:rsidP="002630F4">
      <w:pPr>
        <w:rPr>
          <w:b/>
          <w:bCs/>
          <w:lang w:val="en-GB"/>
        </w:rPr>
      </w:pPr>
      <w:r>
        <w:rPr>
          <w:b/>
          <w:bCs/>
          <w:lang w:val="en-GB"/>
        </w:rPr>
        <w:lastRenderedPageBreak/>
        <w:t xml:space="preserve">S.2: </w:t>
      </w:r>
      <w:r w:rsidRPr="00467FB7">
        <w:rPr>
          <w:b/>
          <w:bCs/>
          <w:lang w:val="en-GB"/>
        </w:rPr>
        <w:t>Model validation using BFP-expressing plasmid transfection</w:t>
      </w:r>
    </w:p>
    <w:p w14:paraId="667D5765" w14:textId="77777777" w:rsidR="001E014D" w:rsidRDefault="001E014D" w:rsidP="002630F4">
      <w:pPr>
        <w:rPr>
          <w:lang w:val="en-GB"/>
        </w:rPr>
      </w:pPr>
      <w:r>
        <w:rPr>
          <w:lang w:val="en-GB"/>
        </w:rPr>
        <w:t xml:space="preserve">The designed BFP-expressing gene was ordered in a pET17 vector from Twist Biosience. The full plasmid map is given below in figure S.2.1. This gene was transfected into HEK293T cells in a 6-well plate using Lipofectamine CRISPRMax (Thermo Scientific) using the manufacturer’s specifications. Cells were grown for 2 days and harvested by trypsinization. Flow cytometry was performed to assess the signal and separation of the signal compared to HEK293T-EGFP cells. Both samples were acquired separately, as well as a mixed sample, to optimize the machine settings and separate the signals. </w:t>
      </w:r>
    </w:p>
    <w:p w14:paraId="718EA53D" w14:textId="77777777" w:rsidR="001E014D" w:rsidRDefault="001E014D" w:rsidP="002630F4">
      <w:pPr>
        <w:rPr>
          <w:lang w:val="en-GB"/>
        </w:rPr>
      </w:pPr>
      <w:r>
        <w:rPr>
          <w:noProof/>
        </w:rPr>
        <w:drawing>
          <wp:inline distT="0" distB="0" distL="0" distR="0" wp14:anchorId="1EA57AA0" wp14:editId="4D5DFFC0">
            <wp:extent cx="5943600" cy="520065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pic:cNvPicPr/>
                  </pic:nvPicPr>
                  <pic:blipFill>
                    <a:blip r:embed="rId11">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0866166A" w14:textId="77777777" w:rsidR="001E014D" w:rsidRPr="009F6FEA" w:rsidRDefault="001E014D" w:rsidP="002630F4">
      <w:pPr>
        <w:rPr>
          <w:lang w:val="en-GB"/>
        </w:rPr>
      </w:pPr>
      <w:r w:rsidRPr="00EB4082">
        <w:rPr>
          <w:b/>
          <w:bCs/>
          <w:sz w:val="20"/>
          <w:szCs w:val="20"/>
          <w:lang w:val="en-GB"/>
        </w:rPr>
        <w:t>Supplementary figure S.2.</w:t>
      </w:r>
      <w:r>
        <w:rPr>
          <w:b/>
          <w:bCs/>
          <w:sz w:val="20"/>
          <w:szCs w:val="20"/>
          <w:lang w:val="en-GB"/>
        </w:rPr>
        <w:t xml:space="preserve">1: </w:t>
      </w:r>
      <w:r>
        <w:rPr>
          <w:sz w:val="20"/>
          <w:szCs w:val="20"/>
          <w:lang w:val="en-GB"/>
        </w:rPr>
        <w:t>Plasmid map encoding the mutant EGFP gene, which encodes a blue fluorescent protein.</w:t>
      </w:r>
    </w:p>
    <w:p w14:paraId="4F76A0B9" w14:textId="77777777" w:rsidR="001E014D" w:rsidRDefault="001E014D" w:rsidP="002630F4">
      <w:pPr>
        <w:rPr>
          <w:lang w:val="en-GB"/>
        </w:rPr>
      </w:pPr>
      <w:r>
        <w:rPr>
          <w:noProof/>
        </w:rPr>
        <w:lastRenderedPageBreak/>
        <w:drawing>
          <wp:inline distT="0" distB="0" distL="0" distR="0" wp14:anchorId="2A29485C" wp14:editId="0CC9C293">
            <wp:extent cx="4189863" cy="6712890"/>
            <wp:effectExtent l="0" t="0" r="127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97632" cy="6725337"/>
                    </a:xfrm>
                    <a:prstGeom prst="rect">
                      <a:avLst/>
                    </a:prstGeom>
                    <a:noFill/>
                    <a:ln>
                      <a:noFill/>
                    </a:ln>
                  </pic:spPr>
                </pic:pic>
              </a:graphicData>
            </a:graphic>
          </wp:inline>
        </w:drawing>
      </w:r>
      <w:r>
        <w:rPr>
          <w:lang w:val="en-GB"/>
        </w:rPr>
        <w:br w:type="textWrapping" w:clear="all"/>
      </w:r>
    </w:p>
    <w:p w14:paraId="1500A63C" w14:textId="77777777" w:rsidR="001E014D" w:rsidRPr="00EB4082" w:rsidRDefault="001E014D" w:rsidP="002630F4">
      <w:pPr>
        <w:rPr>
          <w:sz w:val="20"/>
          <w:szCs w:val="20"/>
          <w:lang w:val="en-GB"/>
        </w:rPr>
      </w:pPr>
      <w:r w:rsidRPr="00EB4082">
        <w:rPr>
          <w:b/>
          <w:bCs/>
          <w:sz w:val="20"/>
          <w:szCs w:val="20"/>
          <w:lang w:val="en-GB"/>
        </w:rPr>
        <w:t>Supplementary figure S.2.</w:t>
      </w:r>
      <w:r>
        <w:rPr>
          <w:b/>
          <w:bCs/>
          <w:sz w:val="20"/>
          <w:szCs w:val="20"/>
          <w:lang w:val="en-GB"/>
        </w:rPr>
        <w:t>2</w:t>
      </w:r>
      <w:r w:rsidRPr="00EB4082">
        <w:rPr>
          <w:sz w:val="20"/>
          <w:szCs w:val="20"/>
          <w:lang w:val="en-GB"/>
        </w:rPr>
        <w:t xml:space="preserve">. A and B: gating strategy to find single cells employed in all flow cytometry experiments using HEK293T cells. C: HEK293T cells expressing EGFP. D: HEK293T cells transfected with pTwist_BFP. E: HEK293T cells. F: mixed population of C and D to assess the ability to distinguish BFP and EGPF signals. G: untreated HEK-EGFP cells from the dose-escalation study presented in </w:t>
      </w:r>
      <w:r>
        <w:rPr>
          <w:sz w:val="20"/>
          <w:szCs w:val="20"/>
          <w:lang w:val="en-GB"/>
        </w:rPr>
        <w:t>Fig.</w:t>
      </w:r>
      <w:r w:rsidRPr="00EB4082">
        <w:rPr>
          <w:sz w:val="20"/>
          <w:szCs w:val="20"/>
          <w:lang w:val="en-GB"/>
        </w:rPr>
        <w:t xml:space="preserve"> </w:t>
      </w:r>
      <w:r>
        <w:rPr>
          <w:sz w:val="20"/>
          <w:szCs w:val="20"/>
          <w:lang w:val="en-GB"/>
        </w:rPr>
        <w:t>6</w:t>
      </w:r>
      <w:r w:rsidRPr="00EB4082">
        <w:rPr>
          <w:sz w:val="20"/>
          <w:szCs w:val="20"/>
          <w:lang w:val="en-GB"/>
        </w:rPr>
        <w:t xml:space="preserve"> of the main text. H: LNP-RNP-HDR at 0</w:t>
      </w:r>
      <w:r>
        <w:rPr>
          <w:sz w:val="20"/>
          <w:szCs w:val="20"/>
          <w:lang w:val="en-GB"/>
        </w:rPr>
        <w:t>.</w:t>
      </w:r>
      <w:r w:rsidRPr="00EB4082">
        <w:rPr>
          <w:sz w:val="20"/>
          <w:szCs w:val="20"/>
          <w:lang w:val="en-GB"/>
        </w:rPr>
        <w:t xml:space="preserve">25% DOTAP, a 1:2 molar ratio of RNP to template DNA and concentration of 30nM of RNP in the well, after formulation in nuclease free water. </w:t>
      </w:r>
    </w:p>
    <w:p w14:paraId="54F61B25" w14:textId="77777777" w:rsidR="001E014D" w:rsidRDefault="001E014D" w:rsidP="002630F4">
      <w:pPr>
        <w:rPr>
          <w:b/>
          <w:bCs/>
          <w:lang w:val="en-GB"/>
        </w:rPr>
      </w:pPr>
      <w:r w:rsidRPr="00FF71CA">
        <w:rPr>
          <w:b/>
          <w:bCs/>
          <w:lang w:val="en-GB"/>
        </w:rPr>
        <w:lastRenderedPageBreak/>
        <w:t>S.</w:t>
      </w:r>
      <w:r>
        <w:rPr>
          <w:b/>
          <w:bCs/>
          <w:lang w:val="en-GB"/>
        </w:rPr>
        <w:t>3</w:t>
      </w:r>
      <w:r w:rsidRPr="00FF71CA">
        <w:rPr>
          <w:b/>
          <w:bCs/>
          <w:lang w:val="en-GB"/>
        </w:rPr>
        <w:t>: Additional information regarding the stability study</w:t>
      </w:r>
      <w:r>
        <w:rPr>
          <w:b/>
          <w:bCs/>
          <w:lang w:val="en-GB"/>
        </w:rPr>
        <w:t xml:space="preserve"> of SpCas9 protein</w:t>
      </w:r>
    </w:p>
    <w:p w14:paraId="007C41FF" w14:textId="77777777" w:rsidR="001E014D" w:rsidRPr="00374CC1" w:rsidRDefault="001E014D" w:rsidP="002630F4">
      <w:pPr>
        <w:spacing w:line="257" w:lineRule="auto"/>
        <w:rPr>
          <w:rFonts w:ascii="Calibri" w:eastAsia="Calibri" w:hAnsi="Calibri" w:cs="Calibri"/>
        </w:rPr>
      </w:pPr>
      <w:r w:rsidRPr="00374CC1">
        <w:rPr>
          <w:rFonts w:ascii="Calibri" w:eastAsia="Calibri" w:hAnsi="Calibri" w:cs="Calibri"/>
        </w:rPr>
        <w:t xml:space="preserve">The linear plasmid </w:t>
      </w:r>
      <w:r w:rsidRPr="1239957C">
        <w:rPr>
          <w:rFonts w:ascii="Calibri" w:eastAsia="Calibri" w:hAnsi="Calibri" w:cs="Calibri"/>
        </w:rPr>
        <w:t xml:space="preserve">used </w:t>
      </w:r>
      <w:r w:rsidRPr="00374CC1">
        <w:rPr>
          <w:rFonts w:ascii="Calibri" w:eastAsia="Calibri" w:hAnsi="Calibri" w:cs="Calibri"/>
        </w:rPr>
        <w:t xml:space="preserve">is 10.930 base pairs long. After cleavage of the EGFP site, two strands of 7926 and 3004 </w:t>
      </w:r>
      <w:r w:rsidRPr="1239957C">
        <w:rPr>
          <w:rFonts w:ascii="Calibri" w:eastAsia="Calibri" w:hAnsi="Calibri" w:cs="Calibri"/>
        </w:rPr>
        <w:t>base pairs</w:t>
      </w:r>
      <w:r w:rsidRPr="00374CC1">
        <w:rPr>
          <w:rFonts w:ascii="Calibri" w:eastAsia="Calibri" w:hAnsi="Calibri" w:cs="Calibri"/>
        </w:rPr>
        <w:t xml:space="preserve"> are formed. The gels were </w:t>
      </w:r>
      <w:r w:rsidRPr="1239957C">
        <w:rPr>
          <w:rFonts w:ascii="Calibri" w:eastAsia="Calibri" w:hAnsi="Calibri" w:cs="Calibri"/>
        </w:rPr>
        <w:t>analyzed</w:t>
      </w:r>
      <w:r w:rsidRPr="00374CC1">
        <w:rPr>
          <w:rFonts w:ascii="Calibri" w:eastAsia="Calibri" w:hAnsi="Calibri" w:cs="Calibri"/>
        </w:rPr>
        <w:t xml:space="preserve"> by densitometry in ImageJ to calculate the cleaving efficiency of the </w:t>
      </w:r>
      <w:r>
        <w:rPr>
          <w:rFonts w:ascii="Calibri" w:eastAsia="Calibri" w:hAnsi="Calibri" w:cs="Calibri"/>
        </w:rPr>
        <w:t>S</w:t>
      </w:r>
      <w:r w:rsidRPr="57BF4ED9">
        <w:rPr>
          <w:rFonts w:ascii="Calibri" w:eastAsia="Calibri" w:hAnsi="Calibri" w:cs="Calibri"/>
        </w:rPr>
        <w:t>pCas9</w:t>
      </w:r>
      <w:r w:rsidRPr="00374CC1">
        <w:rPr>
          <w:rFonts w:ascii="Calibri" w:eastAsia="Calibri" w:hAnsi="Calibri" w:cs="Calibri"/>
        </w:rPr>
        <w:t xml:space="preserve"> protein. A background subtraction was performed using a rolling ball radius of 50 pixels. Lanes were drawn in the middle of the bands. The areas of each peak were calculated (AUC) and the activity was calculated by dividing the AUC of the digested bands by the AUC of the sum of all bands.</w:t>
      </w:r>
    </w:p>
    <w:p w14:paraId="39FC882A" w14:textId="77777777" w:rsidR="001E014D" w:rsidRDefault="001E014D" w:rsidP="002630F4">
      <w:pPr>
        <w:spacing w:line="257" w:lineRule="auto"/>
        <w:rPr>
          <w:rFonts w:ascii="Calibri" w:eastAsia="Calibri" w:hAnsi="Calibri" w:cs="Calibri"/>
          <w:sz w:val="20"/>
          <w:szCs w:val="20"/>
        </w:rPr>
      </w:pPr>
    </w:p>
    <w:p w14:paraId="28007366" w14:textId="77777777" w:rsidR="001E014D" w:rsidRPr="00CB323C" w:rsidRDefault="001E014D" w:rsidP="002630F4">
      <w:pPr>
        <w:spacing w:line="257" w:lineRule="auto"/>
      </w:pPr>
      <w:r>
        <w:t xml:space="preserve">The purity of AF647-Cas9 was determined using SDS-PAGE and measured by fluorescence using the UV/Stain free/Blot free sample tray and the Alexa 647 preset on the Chemidoc imager. </w:t>
      </w:r>
      <w:r w:rsidRPr="00194B61">
        <w:t xml:space="preserve">Here it is notable that a small fluorescent population is visible under the front of the loading dye, which may correspond to the free AF647 label. This is also seen in the final sample, which contained </w:t>
      </w:r>
      <w:r>
        <w:t>the crude</w:t>
      </w:r>
      <w:r w:rsidRPr="00194B61">
        <w:t xml:space="preserve"> labeled protein</w:t>
      </w:r>
      <w:r>
        <w:t xml:space="preserve"> prior to purification</w:t>
      </w:r>
      <w:r w:rsidRPr="00194B61">
        <w:t xml:space="preserve">. The Cas9 </w:t>
      </w:r>
      <w:r>
        <w:t>additionally</w:t>
      </w:r>
      <w:r w:rsidRPr="00194B61">
        <w:t xml:space="preserve"> shows up as a fluorescent band high in the gel around 160 kDa, which is expected</w:t>
      </w:r>
      <w:r>
        <w:t>. T</w:t>
      </w:r>
      <w:r w:rsidRPr="00194B61">
        <w:t>he peak area of the free dye (under the front) was approximately 1%</w:t>
      </w:r>
      <w:r>
        <w:t xml:space="preserve"> as determined by densitometry</w:t>
      </w:r>
      <w:r w:rsidRPr="00194B61">
        <w:t xml:space="preserve">. Most of the impurities were found to be larger than the original Cas9 molecular weight, which is in contrast to SDS-PAGE of the unlabeled protein as seen in </w:t>
      </w:r>
      <w:r>
        <w:t>Fig. 1b</w:t>
      </w:r>
      <w:r w:rsidRPr="00194B61">
        <w:t>.</w:t>
      </w:r>
    </w:p>
    <w:p w14:paraId="3457E194" w14:textId="77777777" w:rsidR="001E014D" w:rsidRDefault="001E014D" w:rsidP="002630F4">
      <w:pPr>
        <w:rPr>
          <w:lang w:val="en-GB"/>
        </w:rPr>
      </w:pPr>
    </w:p>
    <w:p w14:paraId="2A75B638" w14:textId="77777777" w:rsidR="001E014D" w:rsidRDefault="001E014D" w:rsidP="002630F4">
      <w:pPr>
        <w:rPr>
          <w:b/>
          <w:bCs/>
          <w:noProof/>
        </w:rPr>
      </w:pPr>
      <w:r>
        <w:rPr>
          <w:noProof/>
        </w:rPr>
        <w:drawing>
          <wp:inline distT="0" distB="0" distL="0" distR="0" wp14:anchorId="333A2A04" wp14:editId="596AA029">
            <wp:extent cx="3404935" cy="1806575"/>
            <wp:effectExtent l="0" t="0" r="5080" b="3175"/>
            <wp:docPr id="66"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5"/>
                    <pic:cNvPicPr/>
                  </pic:nvPicPr>
                  <pic:blipFill>
                    <a:blip r:embed="rId13">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D0BD1B5B-B8AD-47C2-92D2-6B5CC09CA428}"/>
                        </a:ext>
                      </a:extLst>
                    </a:blip>
                    <a:stretch>
                      <a:fillRect/>
                    </a:stretch>
                  </pic:blipFill>
                  <pic:spPr>
                    <a:xfrm>
                      <a:off x="0" y="0"/>
                      <a:ext cx="3404935" cy="1806575"/>
                    </a:xfrm>
                    <a:prstGeom prst="rect">
                      <a:avLst/>
                    </a:prstGeom>
                  </pic:spPr>
                </pic:pic>
              </a:graphicData>
            </a:graphic>
          </wp:inline>
        </w:drawing>
      </w:r>
      <w:r w:rsidRPr="00FF71CA">
        <w:rPr>
          <w:b/>
          <w:bCs/>
          <w:noProof/>
        </w:rPr>
        <w:t xml:space="preserve"> </w:t>
      </w:r>
    </w:p>
    <w:p w14:paraId="00DC58D1" w14:textId="77777777" w:rsidR="001E014D" w:rsidRPr="00EB4082" w:rsidRDefault="001E014D" w:rsidP="002630F4">
      <w:pPr>
        <w:rPr>
          <w:b/>
          <w:bCs/>
          <w:noProof/>
          <w:sz w:val="20"/>
          <w:szCs w:val="20"/>
        </w:rPr>
      </w:pPr>
      <w:r>
        <w:rPr>
          <w:b/>
          <w:bCs/>
          <w:noProof/>
          <w:sz w:val="20"/>
          <w:szCs w:val="20"/>
        </w:rPr>
        <w:t xml:space="preserve">Supplementary figure </w:t>
      </w:r>
      <w:r w:rsidRPr="00EB4082">
        <w:rPr>
          <w:b/>
          <w:bCs/>
          <w:noProof/>
          <w:sz w:val="20"/>
          <w:szCs w:val="20"/>
        </w:rPr>
        <w:t xml:space="preserve">S.3.1: </w:t>
      </w:r>
      <w:r w:rsidRPr="005040AB">
        <w:rPr>
          <w:noProof/>
          <w:sz w:val="20"/>
          <w:szCs w:val="20"/>
        </w:rPr>
        <w:t xml:space="preserve">Calculated </w:t>
      </w:r>
      <w:r w:rsidRPr="005040AB">
        <w:rPr>
          <w:i/>
          <w:iCs/>
          <w:noProof/>
          <w:sz w:val="20"/>
          <w:szCs w:val="20"/>
        </w:rPr>
        <w:t>in vitro</w:t>
      </w:r>
      <w:r w:rsidRPr="005040AB">
        <w:rPr>
          <w:noProof/>
          <w:sz w:val="20"/>
          <w:szCs w:val="20"/>
        </w:rPr>
        <w:t xml:space="preserve"> </w:t>
      </w:r>
      <w:r>
        <w:rPr>
          <w:noProof/>
          <w:sz w:val="20"/>
          <w:szCs w:val="20"/>
        </w:rPr>
        <w:t>Sp</w:t>
      </w:r>
      <w:r w:rsidRPr="005040AB">
        <w:rPr>
          <w:noProof/>
          <w:sz w:val="20"/>
          <w:szCs w:val="20"/>
        </w:rPr>
        <w:t>Cas9 activity calculated over a long storage time</w:t>
      </w:r>
      <w:r w:rsidRPr="005040AB">
        <w:rPr>
          <w:sz w:val="20"/>
          <w:szCs w:val="20"/>
        </w:rPr>
        <w:t>. Variation between assays is thought to be due to plasmid quality, which is why the protein was compared to a commercially available control each time.</w:t>
      </w:r>
      <w:r>
        <w:rPr>
          <w:b/>
          <w:sz w:val="20"/>
          <w:szCs w:val="20"/>
        </w:rPr>
        <w:t xml:space="preserve"> </w:t>
      </w:r>
    </w:p>
    <w:p w14:paraId="2047EE91" w14:textId="77777777" w:rsidR="001E014D" w:rsidRDefault="001E014D" w:rsidP="002630F4">
      <w:pPr>
        <w:rPr>
          <w:b/>
          <w:bCs/>
          <w:noProof/>
        </w:rPr>
      </w:pPr>
      <w:r>
        <w:rPr>
          <w:noProof/>
        </w:rPr>
        <w:lastRenderedPageBreak/>
        <w:drawing>
          <wp:inline distT="0" distB="0" distL="0" distR="0" wp14:anchorId="6A8F3463" wp14:editId="12D99E99">
            <wp:extent cx="4997301" cy="4300135"/>
            <wp:effectExtent l="0" t="0" r="0" b="571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7"/>
                    <pic:cNvPicPr/>
                  </pic:nvPicPr>
                  <pic:blipFill>
                    <a:blip r:embed="rId14">
                      <a:extLst>
                        <a:ext uri="{28A0092B-C50C-407E-A947-70E740481C1C}">
                          <a14:useLocalDpi xmlns:a14="http://schemas.microsoft.com/office/drawing/2010/main" val="0"/>
                        </a:ext>
                      </a:extLst>
                    </a:blip>
                    <a:stretch>
                      <a:fillRect/>
                    </a:stretch>
                  </pic:blipFill>
                  <pic:spPr>
                    <a:xfrm>
                      <a:off x="0" y="0"/>
                      <a:ext cx="4997301" cy="4300135"/>
                    </a:xfrm>
                    <a:prstGeom prst="rect">
                      <a:avLst/>
                    </a:prstGeom>
                  </pic:spPr>
                </pic:pic>
              </a:graphicData>
            </a:graphic>
          </wp:inline>
        </w:drawing>
      </w:r>
    </w:p>
    <w:p w14:paraId="029803B4" w14:textId="77777777" w:rsidR="001E014D" w:rsidRPr="005040AB" w:rsidRDefault="001E014D" w:rsidP="002630F4">
      <w:pPr>
        <w:rPr>
          <w:noProof/>
          <w:sz w:val="20"/>
          <w:szCs w:val="20"/>
        </w:rPr>
      </w:pPr>
      <w:r>
        <w:rPr>
          <w:b/>
          <w:bCs/>
          <w:noProof/>
          <w:sz w:val="20"/>
          <w:szCs w:val="20"/>
        </w:rPr>
        <w:t xml:space="preserve">Supplementary figure </w:t>
      </w:r>
      <w:r w:rsidRPr="00EB4082">
        <w:rPr>
          <w:b/>
          <w:bCs/>
          <w:noProof/>
          <w:sz w:val="20"/>
          <w:szCs w:val="20"/>
        </w:rPr>
        <w:t xml:space="preserve">S.3.2: </w:t>
      </w:r>
      <w:r w:rsidRPr="005040AB">
        <w:rPr>
          <w:noProof/>
          <w:sz w:val="20"/>
          <w:szCs w:val="20"/>
        </w:rPr>
        <w:t>Elution chromatogram of SpCas9 during His-tag purification.</w:t>
      </w:r>
    </w:p>
    <w:p w14:paraId="1CD2B2E6" w14:textId="77777777" w:rsidR="001E014D" w:rsidRDefault="001E014D" w:rsidP="002630F4">
      <w:r>
        <w:rPr>
          <w:noProof/>
        </w:rPr>
        <w:lastRenderedPageBreak/>
        <w:drawing>
          <wp:inline distT="0" distB="0" distL="0" distR="0" wp14:anchorId="41A604E3" wp14:editId="19163FE0">
            <wp:extent cx="2954280" cy="4263242"/>
            <wp:effectExtent l="0" t="0" r="0" b="444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
                    <pic:cNvPicPr/>
                  </pic:nvPicPr>
                  <pic:blipFill>
                    <a:blip r:embed="rId15">
                      <a:extLst>
                        <a:ext uri="{28A0092B-C50C-407E-A947-70E740481C1C}">
                          <a14:useLocalDpi xmlns:a14="http://schemas.microsoft.com/office/drawing/2010/main" val="0"/>
                        </a:ext>
                      </a:extLst>
                    </a:blip>
                    <a:stretch>
                      <a:fillRect/>
                    </a:stretch>
                  </pic:blipFill>
                  <pic:spPr>
                    <a:xfrm>
                      <a:off x="0" y="0"/>
                      <a:ext cx="2954280" cy="4263242"/>
                    </a:xfrm>
                    <a:prstGeom prst="rect">
                      <a:avLst/>
                    </a:prstGeom>
                  </pic:spPr>
                </pic:pic>
              </a:graphicData>
            </a:graphic>
          </wp:inline>
        </w:drawing>
      </w:r>
    </w:p>
    <w:p w14:paraId="5A25DA9D" w14:textId="7F3E8CA8" w:rsidR="001E014D" w:rsidRDefault="001E014D" w:rsidP="002630F4">
      <w:pPr>
        <w:rPr>
          <w:sz w:val="20"/>
          <w:szCs w:val="20"/>
        </w:rPr>
      </w:pPr>
      <w:r w:rsidRPr="00EB4082">
        <w:rPr>
          <w:b/>
          <w:bCs/>
          <w:sz w:val="20"/>
          <w:szCs w:val="20"/>
        </w:rPr>
        <w:t>Supplementary figure S.3.</w:t>
      </w:r>
      <w:r>
        <w:rPr>
          <w:b/>
          <w:bCs/>
          <w:sz w:val="20"/>
          <w:szCs w:val="20"/>
        </w:rPr>
        <w:t>3</w:t>
      </w:r>
      <w:r w:rsidRPr="00EB4082">
        <w:rPr>
          <w:b/>
          <w:bCs/>
          <w:sz w:val="20"/>
          <w:szCs w:val="20"/>
        </w:rPr>
        <w:t>:</w:t>
      </w:r>
      <w:r>
        <w:rPr>
          <w:b/>
          <w:bCs/>
          <w:sz w:val="20"/>
          <w:szCs w:val="20"/>
        </w:rPr>
        <w:t xml:space="preserve"> </w:t>
      </w:r>
      <w:r>
        <w:rPr>
          <w:sz w:val="20"/>
          <w:szCs w:val="20"/>
        </w:rPr>
        <w:t xml:space="preserve">SDS-PAGE gel excerpt used in the gel densitometry stability study </w:t>
      </w:r>
      <w:sdt>
        <w:sdtPr>
          <w:rPr>
            <w:color w:val="000000"/>
            <w:sz w:val="20"/>
            <w:szCs w:val="20"/>
          </w:rPr>
          <w:tag w:val="MENDELEY_CITATION_v3_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"/>
          <w:id w:val="-2032948229"/>
          <w:placeholder>
            <w:docPart w:val="DefaultPlaceholder_-1854013440"/>
          </w:placeholder>
        </w:sdtPr>
        <w:sdtEndPr>
          <w:rPr>
            <w:sz w:val="22"/>
            <w:szCs w:val="22"/>
          </w:rPr>
        </w:sdtEndPr>
        <w:sdtContent>
          <w:r w:rsidRPr="001E014D">
            <w:rPr>
              <w:color w:val="000000"/>
            </w:rPr>
            <w:t>[1]</w:t>
          </w:r>
        </w:sdtContent>
      </w:sdt>
    </w:p>
    <w:p w14:paraId="7940A2F1" w14:textId="3988274F" w:rsidR="001E014D" w:rsidRDefault="00D65F51" w:rsidP="002630F4">
      <w:pPr>
        <w:rPr>
          <w:sz w:val="20"/>
          <w:szCs w:val="20"/>
        </w:rPr>
      </w:pPr>
      <w:r>
        <w:rPr>
          <w:rFonts w:eastAsia="Times New Roman"/>
        </w:rPr>
        <w:t xml:space="preserve">[1]: </w:t>
      </w:r>
      <w:r>
        <w:rPr>
          <w:rFonts w:eastAsia="Times New Roman"/>
        </w:rPr>
        <w:t xml:space="preserve">Alonso Villela, S.M.; Kraïem, H.; Bouhaouala-Zahar, B.; Bideaux, C.; Aceves Lara, C.A.; Fillaudeau, L. A Protocol for Recombinant Protein Quantification by Densitometry. </w:t>
      </w:r>
      <w:r>
        <w:rPr>
          <w:rFonts w:eastAsia="Times New Roman"/>
          <w:i/>
          <w:iCs/>
        </w:rPr>
        <w:t>MicrobiologyOpen</w:t>
      </w:r>
      <w:r>
        <w:rPr>
          <w:rFonts w:eastAsia="Times New Roman"/>
        </w:rPr>
        <w:t xml:space="preserve"> </w:t>
      </w:r>
      <w:r>
        <w:rPr>
          <w:rFonts w:eastAsia="Times New Roman"/>
          <w:b/>
          <w:bCs/>
        </w:rPr>
        <w:t>2020</w:t>
      </w:r>
      <w:r>
        <w:rPr>
          <w:rFonts w:eastAsia="Times New Roman"/>
        </w:rPr>
        <w:t xml:space="preserve">, </w:t>
      </w:r>
      <w:r>
        <w:rPr>
          <w:rFonts w:eastAsia="Times New Roman"/>
          <w:i/>
          <w:iCs/>
        </w:rPr>
        <w:t>9</w:t>
      </w:r>
      <w:r>
        <w:rPr>
          <w:rFonts w:eastAsia="Times New Roman"/>
        </w:rPr>
        <w:t>, 1175–1182, doi:10.1002/mbo3.1027.</w:t>
      </w:r>
    </w:p>
    <w:p w14:paraId="3FB80145" w14:textId="77777777" w:rsidR="001E014D" w:rsidRDefault="001E014D" w:rsidP="47BAFB00">
      <w:pPr>
        <w:rPr>
          <w:b/>
          <w:bCs/>
          <w:lang w:val="en-GB"/>
        </w:rPr>
      </w:pPr>
    </w:p>
    <w:p w14:paraId="11158884" w14:textId="77777777" w:rsidR="001E014D" w:rsidRDefault="001E014D" w:rsidP="47BAFB00">
      <w:r>
        <w:rPr>
          <w:noProof/>
        </w:rPr>
        <w:lastRenderedPageBreak/>
        <w:drawing>
          <wp:inline distT="0" distB="0" distL="0" distR="0" wp14:anchorId="059D2BD3" wp14:editId="79A70102">
            <wp:extent cx="4404360" cy="5988931"/>
            <wp:effectExtent l="0" t="0" r="0" b="0"/>
            <wp:docPr id="1757540666" name="Picture 175754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540666"/>
                    <pic:cNvPicPr/>
                  </pic:nvPicPr>
                  <pic:blipFill>
                    <a:blip r:embed="rId16">
                      <a:extLst>
                        <a:ext uri="{28A0092B-C50C-407E-A947-70E740481C1C}">
                          <a14:useLocalDpi xmlns:a14="http://schemas.microsoft.com/office/drawing/2010/main" val="0"/>
                        </a:ext>
                      </a:extLst>
                    </a:blip>
                    <a:stretch>
                      <a:fillRect/>
                    </a:stretch>
                  </pic:blipFill>
                  <pic:spPr>
                    <a:xfrm>
                      <a:off x="0" y="0"/>
                      <a:ext cx="4411035" cy="5998007"/>
                    </a:xfrm>
                    <a:prstGeom prst="rect">
                      <a:avLst/>
                    </a:prstGeom>
                  </pic:spPr>
                </pic:pic>
              </a:graphicData>
            </a:graphic>
          </wp:inline>
        </w:drawing>
      </w:r>
    </w:p>
    <w:p w14:paraId="0222D845" w14:textId="77777777" w:rsidR="001E014D" w:rsidRDefault="001E014D" w:rsidP="6766E95A">
      <w:pPr>
        <w:rPr>
          <w:sz w:val="20"/>
          <w:szCs w:val="20"/>
        </w:rPr>
      </w:pPr>
      <w:r w:rsidRPr="43700660">
        <w:rPr>
          <w:b/>
          <w:bCs/>
          <w:sz w:val="20"/>
          <w:szCs w:val="20"/>
        </w:rPr>
        <w:t>Supplementary figure S.3.</w:t>
      </w:r>
      <w:r>
        <w:rPr>
          <w:b/>
          <w:bCs/>
          <w:sz w:val="20"/>
          <w:szCs w:val="20"/>
        </w:rPr>
        <w:t>4</w:t>
      </w:r>
      <w:r w:rsidRPr="007607D4">
        <w:rPr>
          <w:b/>
          <w:bCs/>
          <w:i/>
          <w:iCs/>
          <w:sz w:val="20"/>
          <w:szCs w:val="20"/>
        </w:rPr>
        <w:t xml:space="preserve">: </w:t>
      </w:r>
      <w:r w:rsidRPr="007607D4">
        <w:rPr>
          <w:i/>
          <w:iCs/>
          <w:sz w:val="20"/>
          <w:szCs w:val="20"/>
        </w:rPr>
        <w:t>In vitro</w:t>
      </w:r>
      <w:r w:rsidRPr="43700660">
        <w:rPr>
          <w:sz w:val="20"/>
          <w:szCs w:val="20"/>
        </w:rPr>
        <w:t xml:space="preserve"> cleavage activity assay of RNP complexed in various conditions as used during nanopaticle formulation. A) pH values measured with pH paper of the different conditions. B) Agarose gel of the </w:t>
      </w:r>
      <w:r w:rsidRPr="00EF5597">
        <w:rPr>
          <w:i/>
          <w:iCs/>
          <w:sz w:val="20"/>
          <w:szCs w:val="20"/>
        </w:rPr>
        <w:t xml:space="preserve">in vitro </w:t>
      </w:r>
      <w:r w:rsidRPr="43700660">
        <w:rPr>
          <w:sz w:val="20"/>
          <w:szCs w:val="20"/>
        </w:rPr>
        <w:t xml:space="preserve">cleavage activity assay with various </w:t>
      </w:r>
      <w:r>
        <w:rPr>
          <w:sz w:val="20"/>
          <w:szCs w:val="20"/>
        </w:rPr>
        <w:t>sodium c</w:t>
      </w:r>
      <w:r w:rsidRPr="43700660">
        <w:rPr>
          <w:sz w:val="20"/>
          <w:szCs w:val="20"/>
        </w:rPr>
        <w:t>hloride concentrations.</w:t>
      </w:r>
    </w:p>
    <w:p w14:paraId="0DCF77E8" w14:textId="77777777" w:rsidR="001E014D" w:rsidRDefault="001E014D" w:rsidP="6766E95A">
      <w:pPr>
        <w:rPr>
          <w:rFonts w:ascii="Calibri" w:hAnsi="Calibri"/>
          <w:lang w:val="en-GB"/>
        </w:rPr>
      </w:pPr>
    </w:p>
    <w:p w14:paraId="6B37B288" w14:textId="77777777" w:rsidR="001E014D" w:rsidRDefault="001E014D" w:rsidP="47BAFB00">
      <w:pPr>
        <w:rPr>
          <w:b/>
          <w:bCs/>
          <w:lang w:val="en-GB"/>
        </w:rPr>
      </w:pPr>
    </w:p>
    <w:p w14:paraId="52C9058A" w14:textId="77777777" w:rsidR="001E014D" w:rsidRDefault="001E014D">
      <w:pPr>
        <w:rPr>
          <w:b/>
          <w:bCs/>
          <w:lang w:val="en-GB"/>
        </w:rPr>
      </w:pPr>
      <w:r>
        <w:rPr>
          <w:b/>
          <w:bCs/>
          <w:lang w:val="en-GB"/>
        </w:rPr>
        <w:br w:type="page"/>
      </w:r>
    </w:p>
    <w:p w14:paraId="04E65BF9" w14:textId="77777777" w:rsidR="001E014D" w:rsidRDefault="001E014D" w:rsidP="002630F4">
      <w:pPr>
        <w:rPr>
          <w:b/>
          <w:bCs/>
          <w:lang w:val="en-GB"/>
        </w:rPr>
      </w:pPr>
      <w:r w:rsidRPr="00FF71CA">
        <w:rPr>
          <w:b/>
          <w:bCs/>
          <w:lang w:val="en-GB"/>
        </w:rPr>
        <w:lastRenderedPageBreak/>
        <w:t>S.</w:t>
      </w:r>
      <w:r>
        <w:rPr>
          <w:b/>
          <w:bCs/>
          <w:lang w:val="en-GB"/>
        </w:rPr>
        <w:t>4</w:t>
      </w:r>
      <w:r w:rsidRPr="00FF71CA">
        <w:rPr>
          <w:b/>
          <w:bCs/>
          <w:lang w:val="en-GB"/>
        </w:rPr>
        <w:t xml:space="preserve">: Additional information </w:t>
      </w:r>
      <w:r>
        <w:rPr>
          <w:b/>
          <w:bCs/>
          <w:lang w:val="en-GB"/>
        </w:rPr>
        <w:t>regarding lipid nanoparticle formulation</w:t>
      </w:r>
    </w:p>
    <w:p w14:paraId="146314F5" w14:textId="77777777" w:rsidR="001E014D" w:rsidRPr="00A566A2" w:rsidRDefault="001E014D" w:rsidP="002630F4">
      <w:pPr>
        <w:rPr>
          <w:b/>
          <w:bCs/>
        </w:rPr>
      </w:pPr>
    </w:p>
    <w:p w14:paraId="3827C901" w14:textId="77777777" w:rsidR="001E014D" w:rsidRPr="00A566A2" w:rsidRDefault="001E014D" w:rsidP="002630F4">
      <w:pPr>
        <w:rPr>
          <w:b/>
          <w:bCs/>
          <w:sz w:val="20"/>
          <w:szCs w:val="20"/>
        </w:rPr>
      </w:pPr>
      <w:r>
        <w:rPr>
          <w:b/>
          <w:bCs/>
          <w:sz w:val="20"/>
          <w:szCs w:val="20"/>
        </w:rPr>
        <w:t>Supplementary t</w:t>
      </w:r>
      <w:r w:rsidRPr="00A566A2">
        <w:rPr>
          <w:b/>
          <w:bCs/>
          <w:sz w:val="20"/>
          <w:szCs w:val="20"/>
        </w:rPr>
        <w:t xml:space="preserve">able S.4.1. </w:t>
      </w:r>
      <w:r w:rsidRPr="00FB0AB8">
        <w:rPr>
          <w:sz w:val="20"/>
          <w:szCs w:val="20"/>
        </w:rPr>
        <w:t>Schematic representation of LNP preparation with the exact volumes for an exemplary LNP-RNP formulation.</w:t>
      </w:r>
    </w:p>
    <w:tbl>
      <w:tblPr>
        <w:tblStyle w:val="Tabelraster"/>
        <w:tblW w:w="9493" w:type="dxa"/>
        <w:tblLook w:val="04A0" w:firstRow="1" w:lastRow="0" w:firstColumn="1" w:lastColumn="0" w:noHBand="0" w:noVBand="1"/>
      </w:tblPr>
      <w:tblGrid>
        <w:gridCol w:w="1766"/>
        <w:gridCol w:w="7727"/>
      </w:tblGrid>
      <w:tr w:rsidR="001E014D" w14:paraId="4AF0C7BE" w14:textId="77777777" w:rsidTr="005B36C5">
        <w:tc>
          <w:tcPr>
            <w:tcW w:w="9493" w:type="dxa"/>
            <w:gridSpan w:val="2"/>
          </w:tcPr>
          <w:p w14:paraId="69570892" w14:textId="77777777" w:rsidR="001E014D" w:rsidRPr="00D22E14" w:rsidRDefault="001E014D" w:rsidP="005B36C5">
            <w:pPr>
              <w:jc w:val="center"/>
              <w:rPr>
                <w:b/>
                <w:bCs/>
                <w:sz w:val="20"/>
                <w:szCs w:val="20"/>
              </w:rPr>
            </w:pPr>
            <w:r w:rsidRPr="18C506BC">
              <w:rPr>
                <w:b/>
                <w:sz w:val="20"/>
                <w:szCs w:val="20"/>
              </w:rPr>
              <w:t>100 µ</w:t>
            </w:r>
            <w:r w:rsidRPr="00D22E14">
              <w:rPr>
                <w:b/>
                <w:bCs/>
                <w:sz w:val="20"/>
                <w:szCs w:val="20"/>
              </w:rPr>
              <w:t xml:space="preserve">l LNP formulation; c(RNP) = 0.4 </w:t>
            </w:r>
            <w:r w:rsidRPr="18C506BC">
              <w:rPr>
                <w:b/>
                <w:sz w:val="20"/>
                <w:szCs w:val="20"/>
              </w:rPr>
              <w:t xml:space="preserve">µM; c(total lipids) = 2.2 mM; 50 mM </w:t>
            </w:r>
            <w:r>
              <w:rPr>
                <w:b/>
                <w:sz w:val="20"/>
                <w:szCs w:val="20"/>
              </w:rPr>
              <w:t>HEPES</w:t>
            </w:r>
            <w:r w:rsidRPr="18C506BC">
              <w:rPr>
                <w:b/>
                <w:sz w:val="20"/>
                <w:szCs w:val="20"/>
              </w:rPr>
              <w:t xml:space="preserve"> buffer pH 7.4; 5 % DOTAP</w:t>
            </w:r>
          </w:p>
        </w:tc>
      </w:tr>
      <w:tr w:rsidR="001E014D" w14:paraId="2F370EBE" w14:textId="77777777" w:rsidTr="005B36C5">
        <w:tc>
          <w:tcPr>
            <w:tcW w:w="9493" w:type="dxa"/>
            <w:gridSpan w:val="2"/>
          </w:tcPr>
          <w:p w14:paraId="122BA3C9" w14:textId="77777777" w:rsidR="001E014D" w:rsidRPr="00CB526A" w:rsidRDefault="001E014D" w:rsidP="005B36C5">
            <w:pPr>
              <w:jc w:val="center"/>
              <w:rPr>
                <w:b/>
                <w:bCs/>
                <w:sz w:val="20"/>
                <w:szCs w:val="20"/>
              </w:rPr>
            </w:pPr>
            <w:r w:rsidRPr="00CB526A">
              <w:rPr>
                <w:b/>
                <w:bCs/>
                <w:sz w:val="20"/>
                <w:szCs w:val="20"/>
              </w:rPr>
              <w:t>Material</w:t>
            </w:r>
          </w:p>
        </w:tc>
      </w:tr>
      <w:tr w:rsidR="001E014D" w14:paraId="420FB8EF" w14:textId="77777777" w:rsidTr="005B36C5">
        <w:tc>
          <w:tcPr>
            <w:tcW w:w="9493" w:type="dxa"/>
            <w:gridSpan w:val="2"/>
          </w:tcPr>
          <w:p w14:paraId="6E3D55C1" w14:textId="77777777" w:rsidR="001E014D" w:rsidRPr="00A90A3D" w:rsidRDefault="001E014D" w:rsidP="002630F4">
            <w:pPr>
              <w:pStyle w:val="Lijstalinea"/>
              <w:numPr>
                <w:ilvl w:val="0"/>
                <w:numId w:val="3"/>
              </w:numPr>
              <w:jc w:val="center"/>
              <w:rPr>
                <w:i/>
                <w:iCs/>
                <w:sz w:val="20"/>
                <w:szCs w:val="20"/>
              </w:rPr>
            </w:pPr>
            <w:r w:rsidRPr="00A90A3D">
              <w:rPr>
                <w:i/>
                <w:iCs/>
                <w:sz w:val="20"/>
                <w:szCs w:val="20"/>
              </w:rPr>
              <w:t>RNP complexation</w:t>
            </w:r>
          </w:p>
        </w:tc>
      </w:tr>
      <w:tr w:rsidR="001E014D" w14:paraId="6BD7B911" w14:textId="77777777" w:rsidTr="005B36C5">
        <w:tc>
          <w:tcPr>
            <w:tcW w:w="1766" w:type="dxa"/>
          </w:tcPr>
          <w:p w14:paraId="70369159" w14:textId="77777777" w:rsidR="001E014D" w:rsidRDefault="001E014D" w:rsidP="005B36C5">
            <w:pPr>
              <w:rPr>
                <w:sz w:val="20"/>
                <w:szCs w:val="20"/>
              </w:rPr>
            </w:pPr>
            <w:r>
              <w:rPr>
                <w:sz w:val="20"/>
                <w:szCs w:val="20"/>
              </w:rPr>
              <w:t xml:space="preserve">20 </w:t>
            </w:r>
            <w:r>
              <w:rPr>
                <w:rFonts w:cstheme="minorHAnsi"/>
                <w:sz w:val="20"/>
                <w:szCs w:val="20"/>
              </w:rPr>
              <w:t>µ</w:t>
            </w:r>
            <w:r>
              <w:rPr>
                <w:sz w:val="20"/>
                <w:szCs w:val="20"/>
              </w:rPr>
              <w:t>M sgRNA</w:t>
            </w:r>
          </w:p>
        </w:tc>
        <w:tc>
          <w:tcPr>
            <w:tcW w:w="7727" w:type="dxa"/>
          </w:tcPr>
          <w:p w14:paraId="7872EC14" w14:textId="77777777" w:rsidR="001E014D" w:rsidRDefault="001E014D" w:rsidP="005B36C5">
            <w:pPr>
              <w:jc w:val="center"/>
              <w:rPr>
                <w:sz w:val="20"/>
                <w:szCs w:val="20"/>
              </w:rPr>
            </w:pPr>
            <w:r>
              <w:rPr>
                <w:sz w:val="20"/>
                <w:szCs w:val="20"/>
              </w:rPr>
              <w:t>0.36</w:t>
            </w:r>
          </w:p>
        </w:tc>
      </w:tr>
      <w:tr w:rsidR="001E014D" w14:paraId="2480E838" w14:textId="77777777" w:rsidTr="005B36C5">
        <w:tc>
          <w:tcPr>
            <w:tcW w:w="1766" w:type="dxa"/>
          </w:tcPr>
          <w:p w14:paraId="4DE3C07A" w14:textId="77777777" w:rsidR="001E014D" w:rsidRDefault="001E014D" w:rsidP="005B36C5">
            <w:pPr>
              <w:rPr>
                <w:sz w:val="20"/>
                <w:szCs w:val="20"/>
              </w:rPr>
            </w:pPr>
            <w:r>
              <w:rPr>
                <w:sz w:val="20"/>
                <w:szCs w:val="20"/>
              </w:rPr>
              <w:t xml:space="preserve">3.75 </w:t>
            </w:r>
            <w:r>
              <w:rPr>
                <w:rFonts w:cstheme="minorHAnsi"/>
                <w:sz w:val="20"/>
                <w:szCs w:val="20"/>
              </w:rPr>
              <w:t>µ</w:t>
            </w:r>
            <w:r>
              <w:rPr>
                <w:sz w:val="20"/>
                <w:szCs w:val="20"/>
              </w:rPr>
              <w:t>M SpCas9</w:t>
            </w:r>
          </w:p>
        </w:tc>
        <w:tc>
          <w:tcPr>
            <w:tcW w:w="7727" w:type="dxa"/>
          </w:tcPr>
          <w:p w14:paraId="355BF98A" w14:textId="77777777" w:rsidR="001E014D" w:rsidRDefault="001E014D" w:rsidP="005B36C5">
            <w:pPr>
              <w:jc w:val="center"/>
              <w:rPr>
                <w:sz w:val="20"/>
                <w:szCs w:val="20"/>
              </w:rPr>
            </w:pPr>
            <w:r>
              <w:rPr>
                <w:sz w:val="20"/>
                <w:szCs w:val="20"/>
              </w:rPr>
              <w:t>1.92</w:t>
            </w:r>
          </w:p>
        </w:tc>
      </w:tr>
      <w:tr w:rsidR="001E014D" w14:paraId="1B020A26" w14:textId="77777777" w:rsidTr="005B36C5">
        <w:tc>
          <w:tcPr>
            <w:tcW w:w="9493" w:type="dxa"/>
            <w:gridSpan w:val="2"/>
          </w:tcPr>
          <w:p w14:paraId="005971F5" w14:textId="77777777" w:rsidR="001E014D" w:rsidRPr="006A321F" w:rsidRDefault="001E014D" w:rsidP="005B36C5">
            <w:pPr>
              <w:jc w:val="center"/>
              <w:rPr>
                <w:sz w:val="20"/>
                <w:szCs w:val="20"/>
              </w:rPr>
            </w:pPr>
            <w:r>
              <w:rPr>
                <w:sz w:val="20"/>
                <w:szCs w:val="20"/>
              </w:rPr>
              <w:t xml:space="preserve">*HEPES buffer was added to both gRNA and SpCas9 to a final volume of 9 </w:t>
            </w:r>
            <w:r>
              <w:rPr>
                <w:rFonts w:cstheme="minorHAnsi"/>
                <w:sz w:val="20"/>
                <w:szCs w:val="20"/>
              </w:rPr>
              <w:t>µ</w:t>
            </w:r>
            <w:r>
              <w:rPr>
                <w:sz w:val="20"/>
                <w:szCs w:val="20"/>
              </w:rPr>
              <w:t>l, respectively</w:t>
            </w:r>
          </w:p>
          <w:p w14:paraId="02756DAB" w14:textId="77777777" w:rsidR="001E014D" w:rsidRDefault="001E014D" w:rsidP="002630F4">
            <w:pPr>
              <w:pStyle w:val="Lijstalinea"/>
              <w:numPr>
                <w:ilvl w:val="0"/>
                <w:numId w:val="1"/>
              </w:numPr>
              <w:jc w:val="center"/>
              <w:rPr>
                <w:sz w:val="20"/>
                <w:szCs w:val="20"/>
              </w:rPr>
            </w:pPr>
            <w:r w:rsidRPr="00372E50">
              <w:rPr>
                <w:sz w:val="20"/>
                <w:szCs w:val="20"/>
              </w:rPr>
              <w:t xml:space="preserve">add 9 </w:t>
            </w:r>
            <w:r w:rsidRPr="00372E50">
              <w:rPr>
                <w:rFonts w:cstheme="minorHAnsi"/>
                <w:sz w:val="20"/>
                <w:szCs w:val="20"/>
              </w:rPr>
              <w:t xml:space="preserve">µl of 0.8 µM SpCas9 to 9 µl of 0.8 µM </w:t>
            </w:r>
            <w:r>
              <w:rPr>
                <w:rFonts w:cstheme="minorHAnsi"/>
                <w:sz w:val="20"/>
                <w:szCs w:val="20"/>
              </w:rPr>
              <w:t>s</w:t>
            </w:r>
            <w:r w:rsidRPr="00372E50">
              <w:rPr>
                <w:rFonts w:cstheme="minorHAnsi"/>
                <w:sz w:val="20"/>
                <w:szCs w:val="20"/>
              </w:rPr>
              <w:t>gRNA</w:t>
            </w:r>
          </w:p>
          <w:p w14:paraId="6DFCEC4C" w14:textId="77777777" w:rsidR="001E014D" w:rsidRPr="00372E50" w:rsidRDefault="001E014D" w:rsidP="002630F4">
            <w:pPr>
              <w:pStyle w:val="Lijstalinea"/>
              <w:numPr>
                <w:ilvl w:val="0"/>
                <w:numId w:val="1"/>
              </w:numPr>
              <w:jc w:val="center"/>
              <w:rPr>
                <w:sz w:val="20"/>
                <w:szCs w:val="20"/>
              </w:rPr>
            </w:pPr>
            <w:r>
              <w:rPr>
                <w:sz w:val="20"/>
                <w:szCs w:val="20"/>
              </w:rPr>
              <w:t>incubate for 15 minutes at RT</w:t>
            </w:r>
          </w:p>
        </w:tc>
      </w:tr>
      <w:tr w:rsidR="001E014D" w14:paraId="5975132B" w14:textId="77777777" w:rsidTr="005B36C5">
        <w:tc>
          <w:tcPr>
            <w:tcW w:w="9493" w:type="dxa"/>
            <w:gridSpan w:val="2"/>
          </w:tcPr>
          <w:p w14:paraId="384C12AC" w14:textId="77777777" w:rsidR="001E014D" w:rsidRPr="00D16430" w:rsidRDefault="001E014D" w:rsidP="005B36C5">
            <w:pPr>
              <w:jc w:val="center"/>
              <w:rPr>
                <w:i/>
                <w:iCs/>
                <w:sz w:val="20"/>
                <w:szCs w:val="20"/>
              </w:rPr>
            </w:pPr>
            <w:r>
              <w:rPr>
                <w:i/>
                <w:iCs/>
                <w:sz w:val="20"/>
                <w:szCs w:val="20"/>
              </w:rPr>
              <w:t>2</w:t>
            </w:r>
            <w:r w:rsidRPr="00D16430">
              <w:rPr>
                <w:i/>
                <w:iCs/>
                <w:sz w:val="20"/>
                <w:szCs w:val="20"/>
              </w:rPr>
              <w:t>. Preparation of lipid mixture</w:t>
            </w:r>
          </w:p>
        </w:tc>
      </w:tr>
      <w:tr w:rsidR="001E014D" w14:paraId="69D41890" w14:textId="77777777" w:rsidTr="005B36C5">
        <w:tc>
          <w:tcPr>
            <w:tcW w:w="1766" w:type="dxa"/>
          </w:tcPr>
          <w:p w14:paraId="7B6D4BC8" w14:textId="77777777" w:rsidR="001E014D" w:rsidRDefault="001E014D" w:rsidP="005B36C5">
            <w:pPr>
              <w:rPr>
                <w:sz w:val="20"/>
                <w:szCs w:val="20"/>
              </w:rPr>
            </w:pPr>
            <w:r>
              <w:rPr>
                <w:sz w:val="20"/>
                <w:szCs w:val="20"/>
              </w:rPr>
              <w:t>20 mM C12-200</w:t>
            </w:r>
          </w:p>
        </w:tc>
        <w:tc>
          <w:tcPr>
            <w:tcW w:w="7727" w:type="dxa"/>
          </w:tcPr>
          <w:p w14:paraId="2B013ED4" w14:textId="77777777" w:rsidR="001E014D" w:rsidRDefault="001E014D" w:rsidP="005B36C5">
            <w:pPr>
              <w:jc w:val="center"/>
              <w:rPr>
                <w:sz w:val="20"/>
                <w:szCs w:val="20"/>
              </w:rPr>
            </w:pPr>
            <w:r>
              <w:rPr>
                <w:sz w:val="20"/>
                <w:szCs w:val="20"/>
              </w:rPr>
              <w:t>0.23</w:t>
            </w:r>
          </w:p>
        </w:tc>
      </w:tr>
      <w:tr w:rsidR="001E014D" w14:paraId="2BBAAAA0" w14:textId="77777777" w:rsidTr="005B36C5">
        <w:tc>
          <w:tcPr>
            <w:tcW w:w="1766" w:type="dxa"/>
          </w:tcPr>
          <w:p w14:paraId="08BF4C72" w14:textId="77777777" w:rsidR="001E014D" w:rsidRDefault="001E014D" w:rsidP="005B36C5">
            <w:pPr>
              <w:rPr>
                <w:sz w:val="20"/>
                <w:szCs w:val="20"/>
              </w:rPr>
            </w:pPr>
            <w:r>
              <w:rPr>
                <w:sz w:val="20"/>
                <w:szCs w:val="20"/>
              </w:rPr>
              <w:t>10 mM DOPE</w:t>
            </w:r>
          </w:p>
        </w:tc>
        <w:tc>
          <w:tcPr>
            <w:tcW w:w="7727" w:type="dxa"/>
          </w:tcPr>
          <w:p w14:paraId="2DE455C1" w14:textId="77777777" w:rsidR="001E014D" w:rsidRDefault="001E014D" w:rsidP="005B36C5">
            <w:pPr>
              <w:jc w:val="center"/>
              <w:rPr>
                <w:sz w:val="20"/>
                <w:szCs w:val="20"/>
              </w:rPr>
            </w:pPr>
            <w:r>
              <w:rPr>
                <w:sz w:val="20"/>
                <w:szCs w:val="20"/>
              </w:rPr>
              <w:t>0.21</w:t>
            </w:r>
          </w:p>
        </w:tc>
      </w:tr>
      <w:tr w:rsidR="001E014D" w14:paraId="2FF8784D" w14:textId="77777777" w:rsidTr="005B36C5">
        <w:tc>
          <w:tcPr>
            <w:tcW w:w="1766" w:type="dxa"/>
          </w:tcPr>
          <w:p w14:paraId="333089FA" w14:textId="77777777" w:rsidR="001E014D" w:rsidRDefault="001E014D" w:rsidP="005B36C5">
            <w:pPr>
              <w:rPr>
                <w:sz w:val="20"/>
                <w:szCs w:val="20"/>
              </w:rPr>
            </w:pPr>
            <w:r>
              <w:rPr>
                <w:sz w:val="20"/>
                <w:szCs w:val="20"/>
              </w:rPr>
              <w:t>10 mM cholesterol</w:t>
            </w:r>
          </w:p>
        </w:tc>
        <w:tc>
          <w:tcPr>
            <w:tcW w:w="7727" w:type="dxa"/>
          </w:tcPr>
          <w:p w14:paraId="682A0B18" w14:textId="77777777" w:rsidR="001E014D" w:rsidRDefault="001E014D" w:rsidP="005B36C5">
            <w:pPr>
              <w:jc w:val="center"/>
              <w:rPr>
                <w:sz w:val="20"/>
                <w:szCs w:val="20"/>
              </w:rPr>
            </w:pPr>
            <w:r>
              <w:rPr>
                <w:sz w:val="20"/>
                <w:szCs w:val="20"/>
              </w:rPr>
              <w:t>0.61</w:t>
            </w:r>
          </w:p>
        </w:tc>
      </w:tr>
      <w:tr w:rsidR="001E014D" w14:paraId="54705DA4" w14:textId="77777777" w:rsidTr="005B36C5">
        <w:tc>
          <w:tcPr>
            <w:tcW w:w="1766" w:type="dxa"/>
          </w:tcPr>
          <w:p w14:paraId="6A2C00FB" w14:textId="77777777" w:rsidR="001E014D" w:rsidRDefault="001E014D" w:rsidP="005B36C5">
            <w:pPr>
              <w:rPr>
                <w:sz w:val="20"/>
                <w:szCs w:val="20"/>
              </w:rPr>
            </w:pPr>
            <w:r>
              <w:rPr>
                <w:sz w:val="20"/>
                <w:szCs w:val="20"/>
              </w:rPr>
              <w:t>1 mM PEG-DMG</w:t>
            </w:r>
          </w:p>
        </w:tc>
        <w:tc>
          <w:tcPr>
            <w:tcW w:w="7727" w:type="dxa"/>
          </w:tcPr>
          <w:p w14:paraId="352E8350" w14:textId="77777777" w:rsidR="001E014D" w:rsidRDefault="001E014D" w:rsidP="005B36C5">
            <w:pPr>
              <w:jc w:val="center"/>
              <w:rPr>
                <w:sz w:val="20"/>
                <w:szCs w:val="20"/>
              </w:rPr>
            </w:pPr>
            <w:r>
              <w:rPr>
                <w:sz w:val="20"/>
                <w:szCs w:val="20"/>
              </w:rPr>
              <w:t>0.33</w:t>
            </w:r>
          </w:p>
        </w:tc>
      </w:tr>
      <w:tr w:rsidR="001E014D" w14:paraId="6FF0DD1C" w14:textId="77777777" w:rsidTr="005B36C5">
        <w:tc>
          <w:tcPr>
            <w:tcW w:w="1766" w:type="dxa"/>
          </w:tcPr>
          <w:p w14:paraId="75C544A7" w14:textId="77777777" w:rsidR="001E014D" w:rsidRDefault="001E014D" w:rsidP="005B36C5">
            <w:pPr>
              <w:rPr>
                <w:sz w:val="20"/>
                <w:szCs w:val="20"/>
              </w:rPr>
            </w:pPr>
            <w:r>
              <w:rPr>
                <w:sz w:val="20"/>
                <w:szCs w:val="20"/>
              </w:rPr>
              <w:t>7.12 mM DOTAP</w:t>
            </w:r>
            <w:r w:rsidRPr="18C506BC">
              <w:rPr>
                <w:sz w:val="20"/>
                <w:szCs w:val="20"/>
              </w:rPr>
              <w:t>*</w:t>
            </w:r>
          </w:p>
        </w:tc>
        <w:tc>
          <w:tcPr>
            <w:tcW w:w="7727" w:type="dxa"/>
          </w:tcPr>
          <w:p w14:paraId="2BE79FF9" w14:textId="77777777" w:rsidR="001E014D" w:rsidRDefault="001E014D" w:rsidP="005B36C5">
            <w:pPr>
              <w:jc w:val="center"/>
              <w:rPr>
                <w:sz w:val="20"/>
                <w:szCs w:val="20"/>
              </w:rPr>
            </w:pPr>
            <w:r>
              <w:rPr>
                <w:sz w:val="20"/>
                <w:szCs w:val="20"/>
              </w:rPr>
              <w:t>0.09</w:t>
            </w:r>
          </w:p>
        </w:tc>
      </w:tr>
      <w:tr w:rsidR="001E014D" w14:paraId="157AA151" w14:textId="77777777" w:rsidTr="005B36C5">
        <w:tc>
          <w:tcPr>
            <w:tcW w:w="9493" w:type="dxa"/>
            <w:gridSpan w:val="2"/>
          </w:tcPr>
          <w:p w14:paraId="065F6A38" w14:textId="77777777" w:rsidR="001E014D" w:rsidRDefault="001E014D" w:rsidP="005B36C5">
            <w:pPr>
              <w:jc w:val="center"/>
              <w:rPr>
                <w:sz w:val="20"/>
                <w:szCs w:val="20"/>
              </w:rPr>
            </w:pPr>
            <w:r>
              <w:rPr>
                <w:sz w:val="20"/>
                <w:szCs w:val="20"/>
              </w:rPr>
              <w:t>*</w:t>
            </w:r>
            <w:r w:rsidRPr="00DB2863">
              <w:rPr>
                <w:sz w:val="20"/>
                <w:szCs w:val="20"/>
              </w:rPr>
              <w:t xml:space="preserve"> EtOH was added to lipid mixture to a total volume of 6 </w:t>
            </w:r>
            <w:r w:rsidRPr="00DB2863">
              <w:rPr>
                <w:rFonts w:cstheme="minorHAnsi"/>
                <w:sz w:val="20"/>
                <w:szCs w:val="20"/>
              </w:rPr>
              <w:t>µl</w:t>
            </w:r>
          </w:p>
        </w:tc>
      </w:tr>
      <w:tr w:rsidR="001E014D" w14:paraId="27D6B9D3" w14:textId="77777777" w:rsidTr="005B36C5">
        <w:tc>
          <w:tcPr>
            <w:tcW w:w="9493" w:type="dxa"/>
            <w:gridSpan w:val="2"/>
          </w:tcPr>
          <w:p w14:paraId="1C8B5208" w14:textId="77777777" w:rsidR="001E014D" w:rsidRPr="00D16430" w:rsidRDefault="001E014D" w:rsidP="005B36C5">
            <w:pPr>
              <w:jc w:val="center"/>
              <w:rPr>
                <w:i/>
                <w:iCs/>
                <w:sz w:val="20"/>
                <w:szCs w:val="20"/>
              </w:rPr>
            </w:pPr>
            <w:r>
              <w:rPr>
                <w:i/>
                <w:iCs/>
                <w:sz w:val="20"/>
                <w:szCs w:val="20"/>
              </w:rPr>
              <w:t>3</w:t>
            </w:r>
            <w:r w:rsidRPr="00D16430">
              <w:rPr>
                <w:i/>
                <w:iCs/>
                <w:sz w:val="20"/>
                <w:szCs w:val="20"/>
              </w:rPr>
              <w:t>. LNP formation</w:t>
            </w:r>
          </w:p>
        </w:tc>
      </w:tr>
      <w:tr w:rsidR="001E014D" w14:paraId="37FE9D12" w14:textId="77777777" w:rsidTr="005B36C5">
        <w:tc>
          <w:tcPr>
            <w:tcW w:w="9493" w:type="dxa"/>
            <w:gridSpan w:val="2"/>
          </w:tcPr>
          <w:p w14:paraId="73A3A0FA" w14:textId="77777777" w:rsidR="001E014D" w:rsidRPr="00647838" w:rsidRDefault="001E014D" w:rsidP="002630F4">
            <w:pPr>
              <w:pStyle w:val="Lijstalinea"/>
              <w:numPr>
                <w:ilvl w:val="0"/>
                <w:numId w:val="2"/>
              </w:numPr>
              <w:jc w:val="center"/>
              <w:rPr>
                <w:sz w:val="20"/>
                <w:szCs w:val="20"/>
              </w:rPr>
            </w:pPr>
            <w:r w:rsidRPr="00647838">
              <w:rPr>
                <w:sz w:val="20"/>
                <w:szCs w:val="20"/>
              </w:rPr>
              <w:t xml:space="preserve">add 25.44 </w:t>
            </w:r>
            <w:r w:rsidRPr="00647838">
              <w:rPr>
                <w:rFonts w:cstheme="minorHAnsi"/>
                <w:sz w:val="20"/>
                <w:szCs w:val="20"/>
              </w:rPr>
              <w:t>µl of RNP to 6 µl of lipids</w:t>
            </w:r>
          </w:p>
          <w:p w14:paraId="6763820A" w14:textId="77777777" w:rsidR="001E014D" w:rsidRDefault="001E014D" w:rsidP="002630F4">
            <w:pPr>
              <w:pStyle w:val="Lijstalinea"/>
              <w:numPr>
                <w:ilvl w:val="0"/>
                <w:numId w:val="2"/>
              </w:numPr>
              <w:jc w:val="center"/>
              <w:rPr>
                <w:sz w:val="20"/>
                <w:szCs w:val="20"/>
              </w:rPr>
            </w:pPr>
            <w:r>
              <w:rPr>
                <w:sz w:val="20"/>
                <w:szCs w:val="20"/>
              </w:rPr>
              <w:t xml:space="preserve">incubate for 15 </w:t>
            </w:r>
            <w:r>
              <w:rPr>
                <w:rFonts w:cstheme="minorHAnsi"/>
                <w:sz w:val="20"/>
                <w:szCs w:val="20"/>
              </w:rPr>
              <w:t>minutes</w:t>
            </w:r>
            <w:r>
              <w:rPr>
                <w:sz w:val="20"/>
                <w:szCs w:val="20"/>
              </w:rPr>
              <w:t xml:space="preserve"> at RT</w:t>
            </w:r>
          </w:p>
          <w:p w14:paraId="6F80B723" w14:textId="77777777" w:rsidR="001E014D" w:rsidRPr="00090CB7" w:rsidRDefault="001E014D" w:rsidP="002630F4">
            <w:pPr>
              <w:pStyle w:val="Lijstalinea"/>
              <w:numPr>
                <w:ilvl w:val="0"/>
                <w:numId w:val="2"/>
              </w:numPr>
              <w:jc w:val="center"/>
              <w:rPr>
                <w:sz w:val="20"/>
                <w:szCs w:val="20"/>
              </w:rPr>
            </w:pPr>
            <w:r>
              <w:rPr>
                <w:sz w:val="20"/>
                <w:szCs w:val="20"/>
              </w:rPr>
              <w:t xml:space="preserve">dilute 4x with 1x PBS to final formulation volume of 100 </w:t>
            </w:r>
            <w:r>
              <w:rPr>
                <w:rFonts w:cstheme="minorHAnsi"/>
                <w:sz w:val="20"/>
                <w:szCs w:val="20"/>
              </w:rPr>
              <w:t>µ</w:t>
            </w:r>
            <w:r>
              <w:rPr>
                <w:sz w:val="20"/>
                <w:szCs w:val="20"/>
              </w:rPr>
              <w:t>l</w:t>
            </w:r>
          </w:p>
        </w:tc>
      </w:tr>
    </w:tbl>
    <w:p w14:paraId="3DDC8FFC" w14:textId="77777777" w:rsidR="001E014D" w:rsidRPr="00FF71CA" w:rsidRDefault="001E014D" w:rsidP="002630F4">
      <w:pPr>
        <w:rPr>
          <w:b/>
          <w:bCs/>
          <w:lang w:val="en-GB"/>
        </w:rPr>
      </w:pPr>
    </w:p>
    <w:p w14:paraId="518C8539" w14:textId="77777777" w:rsidR="001E014D" w:rsidRDefault="001E014D" w:rsidP="002630F4">
      <w:pPr>
        <w:rPr>
          <w:b/>
          <w:bCs/>
        </w:rPr>
      </w:pPr>
      <w:r>
        <w:rPr>
          <w:b/>
          <w:bCs/>
        </w:rPr>
        <w:br w:type="page"/>
      </w:r>
    </w:p>
    <w:p w14:paraId="16DFAAE9" w14:textId="77777777" w:rsidR="001E014D" w:rsidRPr="00EB4082" w:rsidRDefault="001E014D" w:rsidP="002630F4">
      <w:pPr>
        <w:rPr>
          <w:rFonts w:ascii="Calibri" w:hAnsi="Calibri" w:cs="Calibri"/>
          <w:b/>
          <w:bCs/>
        </w:rPr>
      </w:pPr>
      <w:r>
        <w:rPr>
          <w:b/>
          <w:bCs/>
        </w:rPr>
        <w:lastRenderedPageBreak/>
        <w:t>S.5: Methods to determine complexation of SpCas9-RNP with LNPs</w:t>
      </w:r>
      <w:r w:rsidRPr="00C170BE">
        <w:t xml:space="preserve"> </w:t>
      </w:r>
      <w:r>
        <w:rPr>
          <w:noProof/>
        </w:rPr>
        <w:drawing>
          <wp:inline distT="0" distB="0" distL="0" distR="0" wp14:anchorId="16DEB53F" wp14:editId="78DBEDC0">
            <wp:extent cx="4755121" cy="6100549"/>
            <wp:effectExtent l="0" t="0" r="762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868"/>
                    <a:stretch/>
                  </pic:blipFill>
                  <pic:spPr bwMode="auto">
                    <a:xfrm>
                      <a:off x="0" y="0"/>
                      <a:ext cx="4763039" cy="6110708"/>
                    </a:xfrm>
                    <a:prstGeom prst="rect">
                      <a:avLst/>
                    </a:prstGeom>
                    <a:noFill/>
                    <a:ln>
                      <a:noFill/>
                    </a:ln>
                    <a:extLst>
                      <a:ext uri="{53640926-AAD7-44D8-BBD7-CCE9431645EC}">
                        <a14:shadowObscured xmlns:a14="http://schemas.microsoft.com/office/drawing/2010/main"/>
                      </a:ext>
                    </a:extLst>
                  </pic:spPr>
                </pic:pic>
              </a:graphicData>
            </a:graphic>
          </wp:inline>
        </w:drawing>
      </w:r>
    </w:p>
    <w:p w14:paraId="1DAC5FE6" w14:textId="77777777" w:rsidR="001E014D" w:rsidRPr="00EB4082" w:rsidRDefault="001E014D" w:rsidP="002630F4">
      <w:pPr>
        <w:rPr>
          <w:rFonts w:ascii="Calibri" w:hAnsi="Calibri" w:cs="Calibri"/>
          <w:sz w:val="20"/>
          <w:szCs w:val="20"/>
        </w:rPr>
      </w:pPr>
      <w:r w:rsidRPr="43700660">
        <w:rPr>
          <w:rFonts w:ascii="Calibri" w:hAnsi="Calibri" w:cs="Calibri"/>
          <w:b/>
          <w:bCs/>
          <w:sz w:val="20"/>
          <w:szCs w:val="20"/>
        </w:rPr>
        <w:t>Supplementary Figure S.5.1 Determination of complexation efficiency of SpCas9 in LNP</w:t>
      </w:r>
      <w:r w:rsidRPr="43700660">
        <w:rPr>
          <w:rFonts w:ascii="Calibri" w:hAnsi="Calibri" w:cs="Calibri"/>
          <w:sz w:val="20"/>
          <w:szCs w:val="20"/>
        </w:rPr>
        <w:t>. A) Chromatogram (fluorescent detector; ex. 280 nm, em. 350 nm) of the full HPLC run on the Xbridge protein BEH C4 300Å column of empty LNP spiked with different SpCas9 concentrations for calibration. B) Zoomed-in chromatogram of the SpCas9 peak in samples of empty LNP with different SpCas9 concentrations for calibration. C) Calibration curve determined with EMPOWER software. (Linear fit equation: y = 1.35*10</w:t>
      </w:r>
      <w:r w:rsidRPr="43700660">
        <w:rPr>
          <w:rFonts w:ascii="Calibri" w:hAnsi="Calibri" w:cs="Calibri"/>
          <w:sz w:val="20"/>
          <w:szCs w:val="20"/>
          <w:vertAlign w:val="superscript"/>
        </w:rPr>
        <w:t>5</w:t>
      </w:r>
      <w:r w:rsidRPr="43700660">
        <w:rPr>
          <w:rFonts w:ascii="Calibri" w:hAnsi="Calibri" w:cs="Calibri"/>
          <w:sz w:val="20"/>
          <w:szCs w:val="20"/>
        </w:rPr>
        <w:t>x – 1.94*10</w:t>
      </w:r>
      <w:r w:rsidRPr="43700660">
        <w:rPr>
          <w:rFonts w:ascii="Calibri" w:hAnsi="Calibri" w:cs="Calibri"/>
          <w:sz w:val="20"/>
          <w:szCs w:val="20"/>
          <w:vertAlign w:val="superscript"/>
        </w:rPr>
        <w:t>6</w:t>
      </w:r>
      <w:r w:rsidRPr="43700660">
        <w:rPr>
          <w:rFonts w:ascii="Calibri" w:hAnsi="Calibri" w:cs="Calibri"/>
          <w:sz w:val="20"/>
          <w:szCs w:val="20"/>
        </w:rPr>
        <w:t>; R</w:t>
      </w:r>
      <w:r w:rsidRPr="43700660">
        <w:rPr>
          <w:rFonts w:ascii="Calibri" w:hAnsi="Calibri" w:cs="Calibri"/>
          <w:sz w:val="20"/>
          <w:szCs w:val="20"/>
          <w:vertAlign w:val="superscript"/>
        </w:rPr>
        <w:t>2</w:t>
      </w:r>
      <w:r w:rsidRPr="43700660">
        <w:rPr>
          <w:rFonts w:ascii="Calibri" w:hAnsi="Calibri" w:cs="Calibri"/>
          <w:sz w:val="20"/>
          <w:szCs w:val="20"/>
        </w:rPr>
        <w:t xml:space="preserve"> = 0.970) D) Chromatogram of LNP-RNP where the RNP was formulated in 50 mM HEPES pH 7.35 or nuclease-free water (non-dialyzed vs dialyzed) and with 5 mole% DOTAP. E) Overview of the determined molar concentration of SpCas9 in the LNP samples. Complexation efficiency was determined by dividing the concentration of SpCas9 of the dialyzed samples by the non-dialyzed sample, respectively for the two different RNP conditions. Dilution factor of 1.3 was included in the calculations as samples were slightly diluted during dialysis (indicated by italic numbers). </w:t>
      </w:r>
    </w:p>
    <w:p w14:paraId="78E7B752" w14:textId="77777777" w:rsidR="001E014D" w:rsidRPr="002214A8" w:rsidRDefault="001E014D" w:rsidP="002630F4">
      <w:pPr>
        <w:rPr>
          <w:sz w:val="20"/>
          <w:szCs w:val="20"/>
        </w:rPr>
      </w:pPr>
      <w:r w:rsidRPr="000F70BD">
        <w:rPr>
          <w:b/>
          <w:bCs/>
          <w:noProof/>
        </w:rPr>
        <w:lastRenderedPageBreak/>
        <w:t xml:space="preserve"> </w:t>
      </w:r>
      <w:r>
        <w:rPr>
          <w:noProof/>
        </w:rPr>
        <w:drawing>
          <wp:inline distT="0" distB="0" distL="0" distR="0" wp14:anchorId="283CE3F9" wp14:editId="43029FCC">
            <wp:extent cx="5943600" cy="4799329"/>
            <wp:effectExtent l="0" t="0" r="0" b="127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pic:cNvPicPr/>
                  </pic:nvPicPr>
                  <pic:blipFill>
                    <a:blip r:embed="rId18">
                      <a:extLst>
                        <a:ext uri="{28A0092B-C50C-407E-A947-70E740481C1C}">
                          <a14:useLocalDpi xmlns:a14="http://schemas.microsoft.com/office/drawing/2010/main" val="0"/>
                        </a:ext>
                      </a:extLst>
                    </a:blip>
                    <a:stretch>
                      <a:fillRect/>
                    </a:stretch>
                  </pic:blipFill>
                  <pic:spPr>
                    <a:xfrm>
                      <a:off x="0" y="0"/>
                      <a:ext cx="5943600" cy="4799329"/>
                    </a:xfrm>
                    <a:prstGeom prst="rect">
                      <a:avLst/>
                    </a:prstGeom>
                  </pic:spPr>
                </pic:pic>
              </a:graphicData>
            </a:graphic>
          </wp:inline>
        </w:drawing>
      </w:r>
    </w:p>
    <w:p w14:paraId="6C70AA8A" w14:textId="77777777" w:rsidR="001E014D" w:rsidRPr="00EB4082" w:rsidRDefault="001E014D" w:rsidP="43700660">
      <w:pPr>
        <w:rPr>
          <w:sz w:val="20"/>
          <w:szCs w:val="20"/>
        </w:rPr>
      </w:pPr>
      <w:r w:rsidRPr="43700660">
        <w:rPr>
          <w:b/>
          <w:bCs/>
          <w:sz w:val="20"/>
          <w:szCs w:val="20"/>
        </w:rPr>
        <w:t xml:space="preserve">Supplementary figure S.5.2 Determination of the complexation efficiency of sgRNA in lipid nanoparticles. </w:t>
      </w:r>
      <w:r w:rsidRPr="43700660">
        <w:rPr>
          <w:sz w:val="20"/>
          <w:szCs w:val="20"/>
        </w:rPr>
        <w:t>A) Calibration curve of the fluorescent signal of Quant-iT</w:t>
      </w:r>
      <w:r w:rsidRPr="43700660">
        <w:rPr>
          <w:sz w:val="20"/>
          <w:szCs w:val="20"/>
          <w:vertAlign w:val="superscript"/>
        </w:rPr>
        <w:t>TM</w:t>
      </w:r>
      <w:r w:rsidRPr="43700660">
        <w:rPr>
          <w:sz w:val="20"/>
          <w:szCs w:val="20"/>
        </w:rPr>
        <w:t xml:space="preserve"> RiboGreen® RNA reagent dependent on gRNA concentration (excitation: 485 nm; emission: 530 nm). Linear fit equation: </w:t>
      </w:r>
      <w:r w:rsidRPr="43700660">
        <w:rPr>
          <w:i/>
          <w:iCs/>
          <w:sz w:val="20"/>
          <w:szCs w:val="20"/>
        </w:rPr>
        <w:t>without 2 % Triton</w:t>
      </w:r>
      <w:r w:rsidRPr="43700660">
        <w:rPr>
          <w:sz w:val="20"/>
          <w:szCs w:val="20"/>
        </w:rPr>
        <w:t xml:space="preserve"> X-100 y = 27.24*x + 5.109 (R</w:t>
      </w:r>
      <w:r w:rsidRPr="43700660">
        <w:rPr>
          <w:sz w:val="20"/>
          <w:szCs w:val="20"/>
          <w:vertAlign w:val="superscript"/>
        </w:rPr>
        <w:t>2</w:t>
      </w:r>
      <w:r w:rsidRPr="43700660">
        <w:rPr>
          <w:sz w:val="20"/>
          <w:szCs w:val="20"/>
        </w:rPr>
        <w:t xml:space="preserve"> = 0.972); </w:t>
      </w:r>
      <w:r w:rsidRPr="43700660">
        <w:rPr>
          <w:i/>
          <w:iCs/>
          <w:sz w:val="20"/>
          <w:szCs w:val="20"/>
        </w:rPr>
        <w:t xml:space="preserve">with 2 % Triton X-100 </w:t>
      </w:r>
      <w:r w:rsidRPr="43700660">
        <w:rPr>
          <w:sz w:val="20"/>
          <w:szCs w:val="20"/>
        </w:rPr>
        <w:t>y = 26.78*x + 16.32 (R</w:t>
      </w:r>
      <w:r w:rsidRPr="43700660">
        <w:rPr>
          <w:sz w:val="20"/>
          <w:szCs w:val="20"/>
          <w:vertAlign w:val="superscript"/>
        </w:rPr>
        <w:t>2</w:t>
      </w:r>
      <w:r w:rsidRPr="43700660">
        <w:rPr>
          <w:sz w:val="20"/>
          <w:szCs w:val="20"/>
        </w:rPr>
        <w:t xml:space="preserve"> = 0.936) B) Overview of the gRNA concentrations calculated with the linear fit equation in LNP-RNP samples. Two different RNP conditions were compared (50 mM HEPES pH 7.35 buffer and nuclease-free water). Complexation efficiency was determined by dividing LNP samples treated without 2 % Triton X-100 with LNP samples treated with 2 % Triton X-100.</w:t>
      </w:r>
    </w:p>
    <w:p w14:paraId="394B63BF" w14:textId="77777777" w:rsidR="001E014D" w:rsidRDefault="001E014D" w:rsidP="002630F4">
      <w:pPr>
        <w:rPr>
          <w:rFonts w:cstheme="minorHAnsi"/>
          <w:b/>
        </w:rPr>
      </w:pPr>
      <w:r w:rsidRPr="47BAFB00">
        <w:rPr>
          <w:b/>
          <w:bCs/>
        </w:rPr>
        <w:br w:type="page"/>
      </w:r>
    </w:p>
    <w:p w14:paraId="1C3E7AB8" w14:textId="77777777" w:rsidR="001E014D" w:rsidRDefault="001E014D" w:rsidP="47BAFB00">
      <w:pPr>
        <w:rPr>
          <w:rFonts w:ascii="Calibri" w:hAnsi="Calibri"/>
          <w:color w:val="000000" w:themeColor="text1"/>
        </w:rPr>
      </w:pPr>
      <w:r>
        <w:object w:dxaOrig="6326" w:dyaOrig="5390" w14:anchorId="1879B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16.65pt;height:269.35pt" o:ole="">
            <v:imagedata r:id="rId19" o:title=""/>
          </v:shape>
          <o:OLEObject Type="Embed" ProgID="Prism9.Document" ShapeID="_x0000_i1027" DrawAspect="Content" ObjectID="_1700423742" r:id="rId20"/>
        </w:object>
      </w:r>
    </w:p>
    <w:p w14:paraId="23F6A0A3" w14:textId="77777777" w:rsidR="001E014D" w:rsidRDefault="001E014D" w:rsidP="614F472E">
      <w:pPr>
        <w:rPr>
          <w:rFonts w:ascii="Calibri" w:hAnsi="Calibri" w:cs="Calibri"/>
          <w:sz w:val="20"/>
          <w:szCs w:val="20"/>
        </w:rPr>
      </w:pPr>
      <w:r w:rsidRPr="43700660">
        <w:rPr>
          <w:b/>
          <w:bCs/>
          <w:sz w:val="20"/>
          <w:szCs w:val="20"/>
        </w:rPr>
        <w:t xml:space="preserve">Supplementary figure S.5.3 Complexation efficiency of Cas9 to LNPs in different formulation conditions. </w:t>
      </w:r>
      <w:r w:rsidRPr="43700660">
        <w:rPr>
          <w:rFonts w:ascii="Calibri" w:hAnsi="Calibri" w:cs="Calibri"/>
          <w:sz w:val="20"/>
          <w:szCs w:val="20"/>
        </w:rPr>
        <w:t>Complexation efficiency was determined by HPLC as shown in figure S.5.1. For each formulation condition, a LNP-RNP was formulated and run on Xbridge protein BEH C4 300Å column as a non-dialyzed and dialyzed sample (to remove free SpCas9). Efficiencies were calculated by dividing the concentration of SpCas9 of the dialyzed samples by the non-dialyzed sample. Concentrations of SpCas9 were determined via EMPOWER software based on standard samples of a calibration curve as depicted in figure S.5.1.c.</w:t>
      </w:r>
    </w:p>
    <w:p w14:paraId="477D651B" w14:textId="77777777" w:rsidR="001E014D" w:rsidRDefault="001E014D" w:rsidP="47BAFB00">
      <w:pPr>
        <w:rPr>
          <w:b/>
          <w:bCs/>
        </w:rPr>
      </w:pPr>
    </w:p>
    <w:p w14:paraId="309C991F" w14:textId="77777777" w:rsidR="001E014D" w:rsidRPr="00EB4082" w:rsidRDefault="001E014D" w:rsidP="002630F4">
      <w:pPr>
        <w:rPr>
          <w:rFonts w:cstheme="minorHAnsi"/>
          <w:b/>
          <w:bCs/>
        </w:rPr>
      </w:pPr>
      <w:r w:rsidRPr="00EB4082">
        <w:rPr>
          <w:rFonts w:cstheme="minorHAnsi"/>
          <w:b/>
          <w:bCs/>
        </w:rPr>
        <w:t>S.6: Additional information on LNP-RNP tested on stoplight HEK293T cells</w:t>
      </w:r>
    </w:p>
    <w:p w14:paraId="02AB0BB6" w14:textId="77777777" w:rsidR="001E014D" w:rsidRPr="001C1CEA" w:rsidRDefault="001E014D" w:rsidP="002630F4">
      <w:pPr>
        <w:rPr>
          <w:b/>
          <w:bCs/>
        </w:rPr>
      </w:pPr>
      <w:r>
        <w:rPr>
          <w:noProof/>
        </w:rPr>
        <w:drawing>
          <wp:inline distT="0" distB="0" distL="0" distR="0" wp14:anchorId="56B934DE" wp14:editId="1A2E07BC">
            <wp:extent cx="5943600" cy="2442845"/>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7"/>
                    <pic:cNvPicPr/>
                  </pic:nvPicPr>
                  <pic:blipFill>
                    <a:blip r:embed="rId21">
                      <a:extLst>
                        <a:ext uri="{28A0092B-C50C-407E-A947-70E740481C1C}">
                          <a14:useLocalDpi xmlns:a14="http://schemas.microsoft.com/office/drawing/2010/main" val="0"/>
                        </a:ext>
                      </a:extLst>
                    </a:blip>
                    <a:stretch>
                      <a:fillRect/>
                    </a:stretch>
                  </pic:blipFill>
                  <pic:spPr>
                    <a:xfrm>
                      <a:off x="0" y="0"/>
                      <a:ext cx="5943600" cy="2442845"/>
                    </a:xfrm>
                    <a:prstGeom prst="rect">
                      <a:avLst/>
                    </a:prstGeom>
                  </pic:spPr>
                </pic:pic>
              </a:graphicData>
            </a:graphic>
          </wp:inline>
        </w:drawing>
      </w:r>
    </w:p>
    <w:p w14:paraId="76ED0999" w14:textId="77777777" w:rsidR="001E014D" w:rsidRPr="00EB4082" w:rsidRDefault="001E014D" w:rsidP="002630F4">
      <w:pPr>
        <w:rPr>
          <w:rFonts w:cstheme="minorHAnsi"/>
          <w:sz w:val="20"/>
          <w:szCs w:val="20"/>
        </w:rPr>
      </w:pPr>
      <w:r w:rsidRPr="00EB4082">
        <w:rPr>
          <w:rFonts w:cstheme="minorHAnsi"/>
          <w:b/>
          <w:sz w:val="20"/>
          <w:szCs w:val="20"/>
        </w:rPr>
        <w:t xml:space="preserve">Supplementary figure S.6.1 </w:t>
      </w:r>
      <w:r w:rsidRPr="00EB4082">
        <w:rPr>
          <w:rFonts w:cstheme="minorHAnsi"/>
          <w:bCs/>
          <w:sz w:val="20"/>
          <w:szCs w:val="20"/>
        </w:rPr>
        <w:t xml:space="preserve">A) Cytotoxicity assay to determine cell viability of </w:t>
      </w:r>
      <w:r>
        <w:rPr>
          <w:rFonts w:cstheme="minorHAnsi"/>
          <w:bCs/>
          <w:sz w:val="20"/>
          <w:szCs w:val="20"/>
        </w:rPr>
        <w:t>HEK293T s</w:t>
      </w:r>
      <w:r w:rsidRPr="00EB4082">
        <w:rPr>
          <w:rFonts w:cstheme="minorHAnsi"/>
          <w:bCs/>
          <w:sz w:val="20"/>
          <w:szCs w:val="20"/>
        </w:rPr>
        <w:t>toplight cells after treatment with lipid nanoparticles</w:t>
      </w:r>
      <w:r>
        <w:rPr>
          <w:rFonts w:cstheme="minorHAnsi"/>
          <w:bCs/>
          <w:sz w:val="20"/>
          <w:szCs w:val="20"/>
        </w:rPr>
        <w:t xml:space="preserve"> with final RNP concentration of 7.7 nM</w:t>
      </w:r>
      <w:r w:rsidRPr="00EB4082">
        <w:rPr>
          <w:rFonts w:cstheme="minorHAnsi"/>
          <w:bCs/>
          <w:sz w:val="20"/>
          <w:szCs w:val="20"/>
        </w:rPr>
        <w:t xml:space="preserve"> in triplicate.</w:t>
      </w:r>
      <w:r w:rsidRPr="00EB4082">
        <w:rPr>
          <w:rFonts w:cstheme="minorHAnsi"/>
          <w:b/>
          <w:sz w:val="20"/>
          <w:szCs w:val="20"/>
        </w:rPr>
        <w:t xml:space="preserve"> </w:t>
      </w:r>
      <w:r w:rsidRPr="00EB4082">
        <w:rPr>
          <w:rFonts w:cstheme="minorHAnsi"/>
          <w:sz w:val="20"/>
          <w:szCs w:val="20"/>
        </w:rPr>
        <w:t xml:space="preserve">Different LNP-RNP samples </w:t>
      </w:r>
      <w:r w:rsidRPr="00EB4082">
        <w:rPr>
          <w:rFonts w:cstheme="minorHAnsi"/>
          <w:sz w:val="20"/>
          <w:szCs w:val="20"/>
        </w:rPr>
        <w:lastRenderedPageBreak/>
        <w:t>with different RNP conditions and molar ratio of DOTAP do not show an effect on cell viability. B) Absolute number of stoplight HEK293T cells per well to show cell viability in dependency of dose of LNP-RNP</w:t>
      </w:r>
      <w:r>
        <w:rPr>
          <w:rFonts w:cstheme="minorHAnsi"/>
          <w:sz w:val="20"/>
          <w:szCs w:val="20"/>
        </w:rPr>
        <w:t xml:space="preserve"> formulations with 0 or 5 mole% DOTAP</w:t>
      </w:r>
      <w:r w:rsidRPr="00EB4082">
        <w:rPr>
          <w:rFonts w:cstheme="minorHAnsi"/>
          <w:sz w:val="20"/>
          <w:szCs w:val="20"/>
        </w:rPr>
        <w:t xml:space="preserve">. Cells were treated in duplicate with nanoparticles. </w:t>
      </w:r>
      <w:r>
        <w:rPr>
          <w:rFonts w:cstheme="minorHAnsi"/>
          <w:sz w:val="20"/>
          <w:szCs w:val="20"/>
        </w:rPr>
        <w:t>Absolute number of cells treated with LNP were compared to cells treated with commercial transfection agent ProDeliverIN.</w:t>
      </w:r>
    </w:p>
    <w:p w14:paraId="7E963388" w14:textId="77777777" w:rsidR="001E014D" w:rsidRDefault="001E014D" w:rsidP="002630F4"/>
    <w:p w14:paraId="6343F066" w14:textId="77777777" w:rsidR="001E014D" w:rsidRPr="00ED12BE" w:rsidRDefault="001E014D" w:rsidP="002630F4">
      <w:pPr>
        <w:rPr>
          <w:rFonts w:cstheme="minorHAnsi"/>
          <w:b/>
          <w:bCs/>
        </w:rPr>
      </w:pPr>
      <w:r w:rsidRPr="00ED12BE">
        <w:rPr>
          <w:rFonts w:cstheme="minorHAnsi"/>
          <w:b/>
          <w:bCs/>
        </w:rPr>
        <w:t>Flow cytometry to determine gene knock</w:t>
      </w:r>
      <w:r>
        <w:rPr>
          <w:rFonts w:cstheme="minorHAnsi"/>
          <w:b/>
          <w:bCs/>
        </w:rPr>
        <w:t>-</w:t>
      </w:r>
      <w:r w:rsidRPr="00ED12BE">
        <w:rPr>
          <w:rFonts w:cstheme="minorHAnsi"/>
          <w:b/>
          <w:bCs/>
        </w:rPr>
        <w:t xml:space="preserve">out efficiencies in </w:t>
      </w:r>
      <w:r>
        <w:rPr>
          <w:rFonts w:cstheme="minorHAnsi"/>
          <w:b/>
          <w:bCs/>
        </w:rPr>
        <w:t xml:space="preserve">HEK293T </w:t>
      </w:r>
      <w:r w:rsidRPr="00ED12BE">
        <w:rPr>
          <w:rFonts w:cstheme="minorHAnsi"/>
          <w:b/>
          <w:bCs/>
        </w:rPr>
        <w:t>stoplight cells</w:t>
      </w:r>
    </w:p>
    <w:p w14:paraId="406A6CF8" w14:textId="77777777" w:rsidR="001E014D" w:rsidRPr="006410EF" w:rsidRDefault="001E014D" w:rsidP="614F472E">
      <w:pPr>
        <w:spacing w:line="257" w:lineRule="auto"/>
      </w:pPr>
      <w:r w:rsidRPr="614F472E">
        <w:t>To support the image analysis, gene editing efficiency was also determined by flow cytometry using the BD FACS CANTO II (Becton Dickinson, Franklin Lakes, USA). Cells were harvested off of the Greiner 96-well black plate by trypsinization and transferred to a BD Falcon U-bottom 96 well plate (Becton Dickinson, Franklin Lakes, USA), where the cells were pelleted and washed 2x with 200 µl PBS by centrifugation at 300xg for 5 minutes. The cells were then resuspended and fixed in 1% paraformaldehyde. EGFP fluorescence was measured in the FITC channel, mCherry fluorescence was measured in the PERCP-Cy5 channel. Gene editing efficiency was determined by calculating the parent percentage of EGFP-positive cells in the mCherry-positive cell population using FlowLogic software. Flow cytometry data analysis is represented in figure S.6.2. and the results are given in figure S.6.3c.</w:t>
      </w:r>
    </w:p>
    <w:p w14:paraId="4DE33FDB" w14:textId="77777777" w:rsidR="001E014D" w:rsidRDefault="001E014D" w:rsidP="002630F4">
      <w:pPr>
        <w:rPr>
          <w:rFonts w:ascii="Times New Roman" w:hAnsi="Times New Roman" w:cs="Times New Roman"/>
          <w:sz w:val="20"/>
          <w:szCs w:val="20"/>
        </w:rPr>
      </w:pPr>
    </w:p>
    <w:p w14:paraId="2215A5A1" w14:textId="77777777" w:rsidR="001E014D" w:rsidRDefault="001E014D" w:rsidP="002630F4">
      <w:pPr>
        <w:rPr>
          <w:rFonts w:ascii="Times New Roman" w:hAnsi="Times New Roman" w:cs="Times New Roman"/>
          <w:sz w:val="20"/>
          <w:szCs w:val="20"/>
        </w:rPr>
      </w:pPr>
    </w:p>
    <w:p w14:paraId="337FC8A3" w14:textId="77777777" w:rsidR="001E014D" w:rsidRDefault="001E014D" w:rsidP="002630F4">
      <w:pPr>
        <w:rPr>
          <w:rFonts w:ascii="Times New Roman" w:hAnsi="Times New Roman" w:cs="Times New Roman"/>
          <w:sz w:val="20"/>
          <w:szCs w:val="20"/>
        </w:rPr>
      </w:pPr>
    </w:p>
    <w:p w14:paraId="4840E311" w14:textId="77777777" w:rsidR="001E014D" w:rsidRDefault="001E014D" w:rsidP="002630F4">
      <w:pPr>
        <w:rPr>
          <w:rFonts w:ascii="Times New Roman" w:hAnsi="Times New Roman" w:cs="Times New Roman"/>
          <w:sz w:val="20"/>
          <w:szCs w:val="20"/>
        </w:rPr>
      </w:pPr>
    </w:p>
    <w:p w14:paraId="7C53D272" w14:textId="77777777" w:rsidR="001E014D" w:rsidRDefault="001E014D" w:rsidP="002630F4">
      <w:pPr>
        <w:rPr>
          <w:rFonts w:ascii="Times New Roman" w:hAnsi="Times New Roman" w:cs="Times New Roman"/>
          <w:sz w:val="20"/>
          <w:szCs w:val="20"/>
        </w:rPr>
      </w:pPr>
    </w:p>
    <w:p w14:paraId="36BD665C" w14:textId="77777777" w:rsidR="001E014D" w:rsidRDefault="001E014D" w:rsidP="002630F4">
      <w:pPr>
        <w:rPr>
          <w:rFonts w:ascii="Times New Roman" w:hAnsi="Times New Roman" w:cs="Times New Roman"/>
          <w:sz w:val="20"/>
          <w:szCs w:val="20"/>
        </w:rPr>
      </w:pPr>
    </w:p>
    <w:p w14:paraId="1B0CB682" w14:textId="77777777" w:rsidR="001E014D" w:rsidRDefault="001E014D" w:rsidP="002630F4">
      <w:pPr>
        <w:rPr>
          <w:rFonts w:ascii="Times New Roman" w:hAnsi="Times New Roman" w:cs="Times New Roman"/>
          <w:sz w:val="20"/>
          <w:szCs w:val="20"/>
        </w:rPr>
      </w:pPr>
    </w:p>
    <w:p w14:paraId="51C25FF5" w14:textId="77777777" w:rsidR="001E014D" w:rsidRDefault="001E014D" w:rsidP="002630F4">
      <w:pPr>
        <w:rPr>
          <w:rFonts w:ascii="Times New Roman" w:hAnsi="Times New Roman" w:cs="Times New Roman"/>
          <w:sz w:val="20"/>
          <w:szCs w:val="20"/>
        </w:rPr>
      </w:pPr>
    </w:p>
    <w:p w14:paraId="28E825D4" w14:textId="77777777" w:rsidR="001E014D" w:rsidRDefault="001E014D" w:rsidP="002630F4">
      <w:pPr>
        <w:rPr>
          <w:rFonts w:ascii="Times New Roman" w:hAnsi="Times New Roman" w:cs="Times New Roman"/>
          <w:sz w:val="20"/>
          <w:szCs w:val="20"/>
        </w:rPr>
      </w:pPr>
    </w:p>
    <w:p w14:paraId="6CFFF81A" w14:textId="77777777" w:rsidR="001E014D" w:rsidRDefault="001E014D" w:rsidP="002630F4">
      <w:pPr>
        <w:rPr>
          <w:rFonts w:ascii="Times New Roman" w:hAnsi="Times New Roman" w:cs="Times New Roman"/>
          <w:sz w:val="20"/>
          <w:szCs w:val="20"/>
        </w:rPr>
      </w:pPr>
      <w:r>
        <w:rPr>
          <w:noProof/>
        </w:rPr>
        <w:lastRenderedPageBreak/>
        <w:drawing>
          <wp:inline distT="0" distB="0" distL="0" distR="0" wp14:anchorId="72EB7E07" wp14:editId="4F4EBE5D">
            <wp:extent cx="5943600" cy="5039994"/>
            <wp:effectExtent l="0" t="0" r="0" b="8255"/>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pic:nvPicPr>
                  <pic:blipFill>
                    <a:blip r:embed="rId22">
                      <a:extLst>
                        <a:ext uri="{28A0092B-C50C-407E-A947-70E740481C1C}">
                          <a14:useLocalDpi xmlns:a14="http://schemas.microsoft.com/office/drawing/2010/main" val="0"/>
                        </a:ext>
                      </a:extLst>
                    </a:blip>
                    <a:stretch>
                      <a:fillRect/>
                    </a:stretch>
                  </pic:blipFill>
                  <pic:spPr>
                    <a:xfrm>
                      <a:off x="0" y="0"/>
                      <a:ext cx="5943600" cy="5039994"/>
                    </a:xfrm>
                    <a:prstGeom prst="rect">
                      <a:avLst/>
                    </a:prstGeom>
                  </pic:spPr>
                </pic:pic>
              </a:graphicData>
            </a:graphic>
          </wp:inline>
        </w:drawing>
      </w:r>
    </w:p>
    <w:p w14:paraId="32DDDF3A" w14:textId="77777777" w:rsidR="001E014D" w:rsidRDefault="001E014D" w:rsidP="002630F4">
      <w:pPr>
        <w:rPr>
          <w:sz w:val="20"/>
          <w:szCs w:val="20"/>
        </w:rPr>
      </w:pPr>
      <w:r w:rsidRPr="008A2CD0">
        <w:rPr>
          <w:rFonts w:cstheme="minorHAnsi"/>
          <w:b/>
          <w:bCs/>
          <w:sz w:val="20"/>
          <w:szCs w:val="20"/>
        </w:rPr>
        <w:t>Supplementary figure S.6.2</w:t>
      </w:r>
      <w:r w:rsidRPr="008A2CD0">
        <w:rPr>
          <w:rFonts w:cstheme="minorHAnsi"/>
          <w:sz w:val="20"/>
          <w:szCs w:val="20"/>
        </w:rPr>
        <w:t xml:space="preserve">. Top panel shows the gating strategy to determine single cells within the </w:t>
      </w:r>
      <w:r>
        <w:rPr>
          <w:rFonts w:cstheme="minorHAnsi"/>
          <w:sz w:val="20"/>
          <w:szCs w:val="20"/>
        </w:rPr>
        <w:t xml:space="preserve">HEK293T </w:t>
      </w:r>
      <w:r w:rsidRPr="008A2CD0">
        <w:rPr>
          <w:rFonts w:cstheme="minorHAnsi"/>
          <w:sz w:val="20"/>
          <w:szCs w:val="20"/>
        </w:rPr>
        <w:t xml:space="preserve">stoplight cells during flow cytometry studies. Bottom panel shows selection of mCherry population and within that population the </w:t>
      </w:r>
      <w:r>
        <w:rPr>
          <w:rFonts w:cstheme="minorHAnsi"/>
          <w:sz w:val="20"/>
          <w:szCs w:val="20"/>
        </w:rPr>
        <w:t>E</w:t>
      </w:r>
      <w:r w:rsidRPr="008A2CD0">
        <w:rPr>
          <w:rFonts w:cstheme="minorHAnsi"/>
          <w:sz w:val="20"/>
          <w:szCs w:val="20"/>
        </w:rPr>
        <w:t>GFP positive selection.</w:t>
      </w:r>
    </w:p>
    <w:p w14:paraId="04C98F90" w14:textId="77777777" w:rsidR="001E014D" w:rsidRDefault="001E014D" w:rsidP="002630F4">
      <w:r>
        <w:rPr>
          <w:noProof/>
        </w:rPr>
        <w:lastRenderedPageBreak/>
        <w:drawing>
          <wp:inline distT="0" distB="0" distL="0" distR="0" wp14:anchorId="1AE9DE50" wp14:editId="19026574">
            <wp:extent cx="5943600" cy="6327776"/>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9"/>
                    <pic:cNvPicPr/>
                  </pic:nvPicPr>
                  <pic:blipFill>
                    <a:blip r:embed="rId23">
                      <a:extLst>
                        <a:ext uri="{28A0092B-C50C-407E-A947-70E740481C1C}">
                          <a14:useLocalDpi xmlns:a14="http://schemas.microsoft.com/office/drawing/2010/main" val="0"/>
                        </a:ext>
                      </a:extLst>
                    </a:blip>
                    <a:stretch>
                      <a:fillRect/>
                    </a:stretch>
                  </pic:blipFill>
                  <pic:spPr>
                    <a:xfrm>
                      <a:off x="0" y="0"/>
                      <a:ext cx="5943600" cy="6327776"/>
                    </a:xfrm>
                    <a:prstGeom prst="rect">
                      <a:avLst/>
                    </a:prstGeom>
                  </pic:spPr>
                </pic:pic>
              </a:graphicData>
            </a:graphic>
          </wp:inline>
        </w:drawing>
      </w:r>
    </w:p>
    <w:p w14:paraId="43953279" w14:textId="77777777" w:rsidR="001E014D" w:rsidRPr="008A2CD0" w:rsidRDefault="001E014D" w:rsidP="002630F4">
      <w:pPr>
        <w:rPr>
          <w:rFonts w:ascii="Calibri" w:hAnsi="Calibri" w:cs="Calibri"/>
          <w:sz w:val="20"/>
          <w:szCs w:val="20"/>
        </w:rPr>
      </w:pPr>
      <w:r w:rsidRPr="008A2CD0">
        <w:rPr>
          <w:rFonts w:ascii="Calibri" w:hAnsi="Calibri" w:cs="Calibri"/>
          <w:b/>
          <w:bCs/>
          <w:sz w:val="20"/>
          <w:szCs w:val="20"/>
        </w:rPr>
        <w:t>Supplementary figure S.6.3.</w:t>
      </w:r>
      <w:r w:rsidRPr="008A2CD0">
        <w:rPr>
          <w:rFonts w:ascii="Calibri" w:hAnsi="Calibri" w:cs="Calibri"/>
          <w:sz w:val="20"/>
          <w:szCs w:val="20"/>
        </w:rPr>
        <w:t xml:space="preserve"> </w:t>
      </w:r>
      <w:r w:rsidRPr="008A2CD0">
        <w:rPr>
          <w:rFonts w:ascii="Calibri" w:hAnsi="Calibri" w:cs="Calibri"/>
          <w:b/>
          <w:bCs/>
          <w:sz w:val="20"/>
          <w:szCs w:val="20"/>
        </w:rPr>
        <w:t>Optimization of formulation.</w:t>
      </w:r>
      <w:r w:rsidRPr="008A2CD0">
        <w:rPr>
          <w:rFonts w:ascii="Calibri" w:hAnsi="Calibri" w:cs="Calibri"/>
          <w:sz w:val="20"/>
          <w:szCs w:val="20"/>
        </w:rPr>
        <w:t xml:space="preserve"> </w:t>
      </w:r>
      <w:r w:rsidRPr="008A2CD0">
        <w:rPr>
          <w:rFonts w:ascii="Calibri" w:hAnsi="Calibri" w:cs="Calibri"/>
          <w:b/>
          <w:bCs/>
          <w:sz w:val="20"/>
          <w:szCs w:val="20"/>
        </w:rPr>
        <w:t>A)</w:t>
      </w:r>
      <w:r w:rsidRPr="008A2CD0">
        <w:rPr>
          <w:rFonts w:ascii="Calibri" w:hAnsi="Calibri" w:cs="Calibri"/>
          <w:sz w:val="20"/>
          <w:szCs w:val="20"/>
        </w:rPr>
        <w:t xml:space="preserve"> Optimization of molar ratio between SpCas9 protein and gRNA. Gene editing is depicted after 48 hrs and 72 hrs of treatment of </w:t>
      </w:r>
      <w:r>
        <w:rPr>
          <w:rFonts w:ascii="Calibri" w:hAnsi="Calibri" w:cs="Calibri"/>
          <w:sz w:val="20"/>
          <w:szCs w:val="20"/>
        </w:rPr>
        <w:t xml:space="preserve">HEK293T </w:t>
      </w:r>
      <w:r w:rsidRPr="008A2CD0">
        <w:rPr>
          <w:rFonts w:ascii="Calibri" w:hAnsi="Calibri" w:cs="Calibri"/>
          <w:sz w:val="20"/>
          <w:szCs w:val="20"/>
        </w:rPr>
        <w:t xml:space="preserve">stoplight reporter cells with LNP-RNP. The commercial transfection agent RNAiMAX was used as a positive control (following </w:t>
      </w:r>
      <w:r w:rsidRPr="228A4B16">
        <w:rPr>
          <w:rFonts w:ascii="Calibri" w:hAnsi="Calibri" w:cs="Calibri"/>
          <w:sz w:val="20"/>
          <w:szCs w:val="20"/>
        </w:rPr>
        <w:t>manufacturer's protocol).</w:t>
      </w:r>
      <w:r w:rsidRPr="008A2CD0">
        <w:rPr>
          <w:rFonts w:ascii="Calibri" w:hAnsi="Calibri" w:cs="Calibri"/>
          <w:sz w:val="20"/>
          <w:szCs w:val="20"/>
        </w:rPr>
        <w:t xml:space="preserve"> As a negative control free RNP at same concentration was added to cells. </w:t>
      </w:r>
      <w:r w:rsidRPr="008A2CD0">
        <w:rPr>
          <w:rFonts w:ascii="Calibri" w:hAnsi="Calibri" w:cs="Calibri"/>
          <w:b/>
          <w:bCs/>
          <w:sz w:val="20"/>
          <w:szCs w:val="20"/>
        </w:rPr>
        <w:t>B)</w:t>
      </w:r>
      <w:r w:rsidRPr="008A2CD0">
        <w:rPr>
          <w:rFonts w:ascii="Calibri" w:hAnsi="Calibri" w:cs="Calibri"/>
          <w:sz w:val="20"/>
          <w:szCs w:val="20"/>
        </w:rPr>
        <w:t xml:space="preserve"> Dialysis of LNP-RNP </w:t>
      </w:r>
      <w:r>
        <w:rPr>
          <w:rFonts w:ascii="Calibri" w:hAnsi="Calibri" w:cs="Calibri"/>
          <w:sz w:val="20"/>
          <w:szCs w:val="20"/>
        </w:rPr>
        <w:t xml:space="preserve">against 1x HBS </w:t>
      </w:r>
      <w:r w:rsidRPr="008A2CD0">
        <w:rPr>
          <w:rFonts w:ascii="Calibri" w:hAnsi="Calibri" w:cs="Calibri"/>
          <w:sz w:val="20"/>
          <w:szCs w:val="20"/>
        </w:rPr>
        <w:t xml:space="preserve">with Float-A-Lyzer MWCO 300 kDa does not result in less gene editing than undialyzed LNP formulation. </w:t>
      </w:r>
      <w:r w:rsidRPr="008A2CD0">
        <w:rPr>
          <w:rFonts w:ascii="Calibri" w:hAnsi="Calibri" w:cs="Calibri"/>
          <w:b/>
          <w:bCs/>
          <w:sz w:val="20"/>
          <w:szCs w:val="20"/>
        </w:rPr>
        <w:t>C</w:t>
      </w:r>
      <w:r w:rsidRPr="008A2CD0">
        <w:rPr>
          <w:rFonts w:ascii="Calibri" w:hAnsi="Calibri" w:cs="Calibri"/>
          <w:sz w:val="20"/>
          <w:szCs w:val="20"/>
        </w:rPr>
        <w:t>) Comparison of image analysis and flow cytometry to determine the gene knock</w:t>
      </w:r>
      <w:r>
        <w:rPr>
          <w:rFonts w:ascii="Calibri" w:hAnsi="Calibri" w:cs="Calibri"/>
          <w:sz w:val="20"/>
          <w:szCs w:val="20"/>
        </w:rPr>
        <w:t>-</w:t>
      </w:r>
      <w:r w:rsidRPr="008A2CD0">
        <w:rPr>
          <w:rFonts w:ascii="Calibri" w:hAnsi="Calibri" w:cs="Calibri"/>
          <w:sz w:val="20"/>
          <w:szCs w:val="20"/>
        </w:rPr>
        <w:t xml:space="preserve">out efficiency of various LNP-RNP formulations. For simplicity, only 5 % DOTAP was depicted in this graph. </w:t>
      </w:r>
      <w:r>
        <w:rPr>
          <w:rFonts w:ascii="Calibri" w:hAnsi="Calibri" w:cs="Calibri"/>
          <w:sz w:val="20"/>
          <w:szCs w:val="20"/>
        </w:rPr>
        <w:t>That</w:t>
      </w:r>
      <w:r w:rsidRPr="008A2CD0">
        <w:rPr>
          <w:rFonts w:ascii="Calibri" w:hAnsi="Calibri" w:cs="Calibri"/>
          <w:sz w:val="20"/>
          <w:szCs w:val="20"/>
        </w:rPr>
        <w:t xml:space="preserve"> flow cytometry </w:t>
      </w:r>
      <w:r>
        <w:rPr>
          <w:rFonts w:ascii="Calibri" w:hAnsi="Calibri" w:cs="Calibri"/>
          <w:sz w:val="20"/>
          <w:szCs w:val="20"/>
        </w:rPr>
        <w:t>analysis yields</w:t>
      </w:r>
      <w:r w:rsidRPr="008A2CD0">
        <w:rPr>
          <w:rFonts w:ascii="Calibri" w:hAnsi="Calibri" w:cs="Calibri"/>
          <w:sz w:val="20"/>
          <w:szCs w:val="20"/>
        </w:rPr>
        <w:t xml:space="preserve"> lower </w:t>
      </w:r>
      <w:r>
        <w:rPr>
          <w:rFonts w:ascii="Calibri" w:hAnsi="Calibri" w:cs="Calibri"/>
          <w:sz w:val="20"/>
          <w:szCs w:val="20"/>
        </w:rPr>
        <w:t xml:space="preserve">gene editing </w:t>
      </w:r>
      <w:r w:rsidRPr="008A2CD0">
        <w:rPr>
          <w:rFonts w:ascii="Calibri" w:hAnsi="Calibri" w:cs="Calibri"/>
          <w:sz w:val="20"/>
          <w:szCs w:val="20"/>
        </w:rPr>
        <w:t xml:space="preserve">values </w:t>
      </w:r>
      <w:r>
        <w:rPr>
          <w:rFonts w:ascii="Calibri" w:hAnsi="Calibri" w:cs="Calibri"/>
          <w:sz w:val="20"/>
          <w:szCs w:val="20"/>
        </w:rPr>
        <w:t xml:space="preserve">than image analysis </w:t>
      </w:r>
      <w:r w:rsidRPr="008A2CD0">
        <w:rPr>
          <w:rFonts w:ascii="Calibri" w:hAnsi="Calibri" w:cs="Calibri"/>
          <w:sz w:val="20"/>
          <w:szCs w:val="20"/>
        </w:rPr>
        <w:t xml:space="preserve">was seen for each </w:t>
      </w:r>
      <w:r>
        <w:rPr>
          <w:rFonts w:ascii="Calibri" w:hAnsi="Calibri" w:cs="Calibri"/>
          <w:sz w:val="20"/>
          <w:szCs w:val="20"/>
        </w:rPr>
        <w:t xml:space="preserve">complexation condition for RNP and </w:t>
      </w:r>
      <w:r w:rsidRPr="008A2CD0">
        <w:rPr>
          <w:rFonts w:ascii="Calibri" w:hAnsi="Calibri" w:cs="Calibri"/>
          <w:sz w:val="20"/>
          <w:szCs w:val="20"/>
        </w:rPr>
        <w:t>LNP</w:t>
      </w:r>
      <w:r>
        <w:rPr>
          <w:rFonts w:ascii="Calibri" w:hAnsi="Calibri" w:cs="Calibri"/>
          <w:sz w:val="20"/>
          <w:szCs w:val="20"/>
        </w:rPr>
        <w:t>, but the trends follow the same pattern.</w:t>
      </w:r>
    </w:p>
    <w:p w14:paraId="4DBE1769" w14:textId="77777777" w:rsidR="001E014D" w:rsidRPr="00643013" w:rsidRDefault="001E014D" w:rsidP="00BB2E8C">
      <w:pPr>
        <w:pStyle w:val="RSCB06BHeadingSub-Section"/>
        <w:spacing w:after="0"/>
        <w:rPr>
          <w:rFonts w:ascii="Calibri" w:eastAsia="Calibri" w:hAnsi="Calibri" w:cs="Calibri"/>
          <w:bCs/>
          <w:color w:val="000000" w:themeColor="text1"/>
          <w:sz w:val="20"/>
          <w:szCs w:val="20"/>
        </w:rPr>
      </w:pPr>
    </w:p>
    <w:p w14:paraId="1094ED9D" w14:textId="77777777" w:rsidR="001E014D" w:rsidRPr="00643013" w:rsidRDefault="001E014D" w:rsidP="00643013">
      <w:pPr>
        <w:rPr>
          <w:b/>
          <w:bCs/>
        </w:rPr>
      </w:pPr>
      <w:r w:rsidRPr="00643013">
        <w:rPr>
          <w:b/>
          <w:bCs/>
        </w:rPr>
        <w:lastRenderedPageBreak/>
        <w:t>Tracking of Indels by Decomposition (TIDE) analysis</w:t>
      </w:r>
    </w:p>
    <w:p w14:paraId="3C6C6B0A" w14:textId="752DF49E" w:rsidR="001E014D" w:rsidRPr="00C70614" w:rsidRDefault="001E014D" w:rsidP="00643013">
      <w:pPr>
        <w:rPr>
          <w:b/>
          <w:bCs/>
        </w:rPr>
      </w:pPr>
      <w:r w:rsidRPr="00A47BDC">
        <w:rPr>
          <w:bCs/>
        </w:rPr>
        <w:t xml:space="preserve">TIDE was performed as described by Brinkman </w:t>
      </w:r>
      <w:r w:rsidRPr="00A47BDC">
        <w:rPr>
          <w:bCs/>
          <w:i/>
          <w:iCs/>
        </w:rPr>
        <w:t>et al</w:t>
      </w:r>
      <w:r w:rsidRPr="00A47BDC">
        <w:rPr>
          <w:bCs/>
        </w:rPr>
        <w:t xml:space="preserve"> (S.6.4) </w:t>
      </w:r>
      <w:sdt>
        <w:sdtPr>
          <w:rPr>
            <w:bCs/>
            <w:color w:val="000000"/>
          </w:rPr>
          <w:tag w:val="MENDELEY_CITATION_v3_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"/>
          <w:id w:val="-1888105474"/>
          <w:placeholder>
            <w:docPart w:val="E88CEABA48BA4E3F982AF0595C5ABFAA"/>
          </w:placeholder>
        </w:sdtPr>
        <w:sdtContent>
          <w:r w:rsidRPr="001E014D">
            <w:rPr>
              <w:bCs/>
              <w:color w:val="000000"/>
            </w:rPr>
            <w:t>[2]</w:t>
          </w:r>
        </w:sdtContent>
      </w:sdt>
      <w:r w:rsidRPr="00A47BDC">
        <w:rPr>
          <w:bCs/>
        </w:rPr>
        <w:t>.</w:t>
      </w:r>
      <w:r>
        <w:t xml:space="preserve"> </w:t>
      </w:r>
      <w:r>
        <w:rPr>
          <w:bCs/>
        </w:rPr>
        <w:t>In short, g</w:t>
      </w:r>
      <w:r w:rsidRPr="00A47BDC">
        <w:rPr>
          <w:bCs/>
        </w:rPr>
        <w:t>enomic DNA was isolated 48h after transfection from HEK293T Stoplight cells using the PureLink Genomic DNA Mini Kit (Thermo Fisher, Landsmeer, the Netherlands) following the manufacturer’s instructions. The target region was amplified by PCR, using the sequences given in the supplementary information (S.1.2). The PCR product was purified using QIAquick PCR Purification kit (Qiagen GmbH, Hilden, Germany) and Sanger-sequenced</w:t>
      </w:r>
      <w:r>
        <w:rPr>
          <w:bCs/>
        </w:rPr>
        <w:t xml:space="preserve">. </w:t>
      </w:r>
      <w:r w:rsidRPr="00A47BDC">
        <w:rPr>
          <w:bCs/>
        </w:rPr>
        <w:t xml:space="preserve">The forward Sanger sequence chromatogram was used for TIDE analysis, by using the TIDE webtool (http://tide.nki.nl). To determine gene modification frequencies, the sequence chromatogram from untreated cells was used as a reference sequence. </w:t>
      </w:r>
      <w:r>
        <w:rPr>
          <w:bCs/>
        </w:rPr>
        <w:t xml:space="preserve">The </w:t>
      </w:r>
      <w:r w:rsidRPr="00A47BDC">
        <w:rPr>
          <w:bCs/>
        </w:rPr>
        <w:t>percentage of gene editing was calculat</w:t>
      </w:r>
      <w:r>
        <w:rPr>
          <w:bCs/>
        </w:rPr>
        <w:t xml:space="preserve">ed with </w:t>
      </w:r>
      <w:r w:rsidRPr="00A47BDC">
        <w:rPr>
          <w:bCs/>
        </w:rPr>
        <w:t xml:space="preserve">the indel size range set at 25 and the decomposition window </w:t>
      </w:r>
      <w:r>
        <w:rPr>
          <w:bCs/>
        </w:rPr>
        <w:t>fixed</w:t>
      </w:r>
      <w:r w:rsidRPr="00A47BDC">
        <w:rPr>
          <w:bCs/>
        </w:rPr>
        <w:t xml:space="preserve"> between 300-600 bp</w:t>
      </w:r>
      <w:r>
        <w:rPr>
          <w:bCs/>
        </w:rPr>
        <w:t>.</w:t>
      </w:r>
      <w:r w:rsidR="00074664">
        <w:rPr>
          <w:bCs/>
        </w:rPr>
        <w:t xml:space="preserve"> The TIDE analysis outputs are provided in Supplementary Data file 2 – TIDE data. </w:t>
      </w:r>
    </w:p>
    <w:p w14:paraId="265331A8" w14:textId="77777777" w:rsidR="001E014D" w:rsidRDefault="001E014D" w:rsidP="00A45509">
      <w:pPr>
        <w:pStyle w:val="RSCB06BHeadingSub-Section"/>
        <w:spacing w:after="0"/>
        <w:rPr>
          <w:rFonts w:ascii="Calibri" w:eastAsia="Calibri" w:hAnsi="Calibri" w:cs="Calibri"/>
          <w:color w:val="000000" w:themeColor="text1"/>
          <w:sz w:val="20"/>
          <w:szCs w:val="20"/>
        </w:rPr>
      </w:pPr>
    </w:p>
    <w:sdt>
      <w:sdtPr>
        <w:rPr>
          <w:rFonts w:ascii="Calibri" w:eastAsia="Calibri" w:hAnsi="Calibri" w:cs="Calibri"/>
          <w:color w:val="000000" w:themeColor="text1"/>
          <w:sz w:val="20"/>
          <w:szCs w:val="20"/>
        </w:rPr>
        <w:tag w:val="MENDELEY_BIBLIOGRAPHY"/>
        <w:id w:val="-349872417"/>
        <w:placeholder>
          <w:docPart w:val="DefaultPlaceholder_-1854013440"/>
        </w:placeholder>
      </w:sdtPr>
      <w:sdtContent>
        <w:p w14:paraId="343E8F65" w14:textId="50396D75" w:rsidR="00D65F51" w:rsidRDefault="00D65F51" w:rsidP="00D65F51">
          <w:pPr>
            <w:autoSpaceDE w:val="0"/>
            <w:autoSpaceDN w:val="0"/>
            <w:divId w:val="2119179401"/>
            <w:rPr>
              <w:rFonts w:eastAsia="Times New Roman"/>
              <w:sz w:val="24"/>
              <w:szCs w:val="24"/>
            </w:rPr>
          </w:pPr>
        </w:p>
        <w:p w14:paraId="217A6D51" w14:textId="11255C49" w:rsidR="00D65F51" w:rsidRPr="00D65F51" w:rsidRDefault="00D65F51" w:rsidP="00D65F51">
          <w:pPr>
            <w:autoSpaceDE w:val="0"/>
            <w:autoSpaceDN w:val="0"/>
            <w:ind w:left="640" w:hanging="640"/>
            <w:divId w:val="1374505038"/>
            <w:rPr>
              <w:rFonts w:eastAsia="Times New Roman"/>
            </w:rPr>
          </w:pPr>
          <w:r>
            <w:rPr>
              <w:rFonts w:eastAsia="Times New Roman"/>
            </w:rPr>
            <w:t xml:space="preserve">2. </w:t>
          </w:r>
          <w:r>
            <w:rPr>
              <w:rFonts w:eastAsia="Times New Roman"/>
            </w:rPr>
            <w:tab/>
            <w:t xml:space="preserve">Brinkman, E.K.; Chen, T.; Amendola, M.; van Steensel, B. Easy Quantitative Assessment of Genome Editing by Sequence Trace Decomposition. </w:t>
          </w:r>
          <w:r>
            <w:rPr>
              <w:rFonts w:eastAsia="Times New Roman"/>
              <w:i/>
              <w:iCs/>
            </w:rPr>
            <w:t>Nucleic acids research</w:t>
          </w:r>
          <w:r>
            <w:rPr>
              <w:rFonts w:eastAsia="Times New Roman"/>
            </w:rPr>
            <w:t xml:space="preserve"> </w:t>
          </w:r>
          <w:r>
            <w:rPr>
              <w:rFonts w:eastAsia="Times New Roman"/>
              <w:b/>
              <w:bCs/>
            </w:rPr>
            <w:t>2014</w:t>
          </w:r>
          <w:r>
            <w:rPr>
              <w:rFonts w:eastAsia="Times New Roman"/>
            </w:rPr>
            <w:t xml:space="preserve">, </w:t>
          </w:r>
          <w:r>
            <w:rPr>
              <w:rFonts w:eastAsia="Times New Roman"/>
              <w:i/>
              <w:iCs/>
            </w:rPr>
            <w:t>42</w:t>
          </w:r>
          <w:r>
            <w:rPr>
              <w:rFonts w:eastAsia="Times New Roman"/>
            </w:rPr>
            <w:t>, e168, doi:10.1093/nar/gku936.</w:t>
          </w:r>
        </w:p>
      </w:sdtContent>
    </w:sdt>
    <w:p w14:paraId="60A4B765" w14:textId="1A3C9705" w:rsidR="001E014D" w:rsidRDefault="001E014D" w:rsidP="00A45509">
      <w:pPr>
        <w:pStyle w:val="RSCB06BHeadingSub-Section"/>
        <w:spacing w:after="0"/>
        <w:rPr>
          <w:rFonts w:ascii="Calibri" w:eastAsia="Calibri" w:hAnsi="Calibri" w:cs="Calibri"/>
          <w:color w:val="000000" w:themeColor="text1"/>
          <w:sz w:val="20"/>
          <w:szCs w:val="20"/>
        </w:rPr>
      </w:pPr>
      <w:r>
        <w:rPr>
          <w:noProof/>
        </w:rPr>
        <w:lastRenderedPageBreak/>
        <w:drawing>
          <wp:anchor distT="0" distB="0" distL="114300" distR="114300" simplePos="0" relativeHeight="251658752" behindDoc="0" locked="0" layoutInCell="1" allowOverlap="1" wp14:anchorId="0BFAC413" wp14:editId="2E40B178">
            <wp:simplePos x="0" y="0"/>
            <wp:positionH relativeFrom="column">
              <wp:posOffset>0</wp:posOffset>
            </wp:positionH>
            <wp:positionV relativeFrom="paragraph">
              <wp:posOffset>228600</wp:posOffset>
            </wp:positionV>
            <wp:extent cx="5943600" cy="5372100"/>
            <wp:effectExtent l="0" t="0" r="0" b="0"/>
            <wp:wrapTopAndBottom/>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t="2823" b="30845"/>
                    <a:stretch/>
                  </pic:blipFill>
                  <pic:spPr bwMode="auto">
                    <a:xfrm>
                      <a:off x="0" y="0"/>
                      <a:ext cx="5943600" cy="537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1C94D4" w14:textId="77777777" w:rsidR="001E014D" w:rsidRPr="00BB2E8C" w:rsidRDefault="001E014D" w:rsidP="00BB2E8C">
      <w:pPr>
        <w:pStyle w:val="RSCB06BHeadingSub-Section"/>
        <w:spacing w:after="0"/>
        <w:rPr>
          <w:rFonts w:ascii="Calibri" w:eastAsia="Calibri" w:hAnsi="Calibri" w:cs="Calibri"/>
          <w:b w:val="0"/>
          <w:color w:val="000000" w:themeColor="text1"/>
          <w:sz w:val="20"/>
          <w:szCs w:val="20"/>
        </w:rPr>
      </w:pPr>
      <w:r w:rsidRPr="222A129C">
        <w:rPr>
          <w:rFonts w:ascii="Calibri" w:hAnsi="Calibri" w:cs="Calibri"/>
          <w:sz w:val="20"/>
          <w:szCs w:val="20"/>
        </w:rPr>
        <w:t xml:space="preserve">Supplementary figure S.6.4: Genetic readouts of gene-editing in the HEK293T-stoplight cells. </w:t>
      </w:r>
      <w:r w:rsidRPr="009F0C77">
        <w:rPr>
          <w:rFonts w:ascii="Calibri" w:hAnsi="Calibri" w:cs="Calibri"/>
          <w:b w:val="0"/>
          <w:sz w:val="20"/>
          <w:szCs w:val="20"/>
        </w:rPr>
        <w:t>A: Original gel of figure 3E. B:</w:t>
      </w:r>
      <w:r>
        <w:rPr>
          <w:rFonts w:ascii="Calibri" w:hAnsi="Calibri" w:cs="Calibri"/>
          <w:b w:val="0"/>
          <w:sz w:val="20"/>
          <w:szCs w:val="20"/>
        </w:rPr>
        <w:t xml:space="preserve"> Percentage of gene-edited cells found in TIDE analysis</w:t>
      </w:r>
      <w:r w:rsidRPr="009F0C77">
        <w:rPr>
          <w:rFonts w:ascii="Calibri" w:hAnsi="Calibri" w:cs="Calibri"/>
          <w:b w:val="0"/>
          <w:sz w:val="20"/>
          <w:szCs w:val="20"/>
        </w:rPr>
        <w:t xml:space="preserve"> performed on the same samples</w:t>
      </w:r>
      <w:r>
        <w:rPr>
          <w:rFonts w:ascii="Calibri" w:hAnsi="Calibri" w:cs="Calibri"/>
          <w:b w:val="0"/>
          <w:sz w:val="20"/>
          <w:szCs w:val="20"/>
        </w:rPr>
        <w:t xml:space="preserve"> (n=3)</w:t>
      </w:r>
      <w:r w:rsidRPr="222A129C">
        <w:rPr>
          <w:rFonts w:cs="Times New Roman"/>
          <w:b w:val="0"/>
          <w:w w:val="108"/>
        </w:rPr>
        <w:t xml:space="preserve">. These are in line with the functional data provided in figure </w:t>
      </w:r>
      <w:r w:rsidRPr="222A129C">
        <w:rPr>
          <w:rFonts w:cs="Times New Roman"/>
          <w:b w:val="0"/>
        </w:rPr>
        <w:t>3</w:t>
      </w:r>
      <w:r w:rsidRPr="222A129C">
        <w:rPr>
          <w:rFonts w:cs="Times New Roman"/>
          <w:b w:val="0"/>
          <w:w w:val="108"/>
        </w:rPr>
        <w:t xml:space="preserve">A and </w:t>
      </w:r>
      <w:r w:rsidRPr="222A129C">
        <w:rPr>
          <w:rFonts w:cs="Times New Roman"/>
          <w:b w:val="0"/>
        </w:rPr>
        <w:t>3</w:t>
      </w:r>
      <w:r w:rsidRPr="222A129C">
        <w:rPr>
          <w:rFonts w:cs="Times New Roman"/>
          <w:b w:val="0"/>
          <w:w w:val="108"/>
        </w:rPr>
        <w:t>C.</w:t>
      </w:r>
    </w:p>
    <w:p w14:paraId="25865B83" w14:textId="77777777" w:rsidR="001E014D" w:rsidRDefault="001E014D" w:rsidP="002630F4">
      <w:pPr>
        <w:shd w:val="clear" w:color="auto" w:fill="FFFFFF"/>
        <w:spacing w:after="0" w:line="240" w:lineRule="auto"/>
        <w:rPr>
          <w:rFonts w:ascii="Calibri" w:eastAsia="Times New Roman" w:hAnsi="Calibri" w:cs="Calibri"/>
          <w:b/>
          <w:bCs/>
          <w:color w:val="1D2228"/>
          <w:lang w:eastAsia="nl-NL"/>
        </w:rPr>
      </w:pPr>
    </w:p>
    <w:p w14:paraId="2E7189E8" w14:textId="77777777" w:rsidR="001E014D" w:rsidRPr="008A2CD0" w:rsidRDefault="001E014D" w:rsidP="002630F4">
      <w:pPr>
        <w:shd w:val="clear" w:color="auto" w:fill="FFFFFF"/>
        <w:spacing w:after="0" w:line="240" w:lineRule="auto"/>
        <w:rPr>
          <w:rFonts w:ascii="Calibri" w:eastAsia="Times New Roman" w:hAnsi="Calibri" w:cs="Calibri"/>
          <w:b/>
          <w:bCs/>
          <w:color w:val="1D2228"/>
          <w:lang w:eastAsia="nl-NL"/>
        </w:rPr>
      </w:pPr>
      <w:r w:rsidRPr="008A2CD0">
        <w:rPr>
          <w:rFonts w:ascii="Calibri" w:eastAsia="Times New Roman" w:hAnsi="Calibri" w:cs="Calibri"/>
          <w:b/>
          <w:bCs/>
          <w:color w:val="1D2228"/>
          <w:lang w:eastAsia="nl-NL"/>
        </w:rPr>
        <w:t>Method statistical analysis</w:t>
      </w:r>
    </w:p>
    <w:p w14:paraId="54C4508A" w14:textId="77777777" w:rsidR="001E014D" w:rsidRPr="008A2CD0" w:rsidRDefault="001E014D" w:rsidP="002630F4">
      <w:pPr>
        <w:shd w:val="clear" w:color="auto" w:fill="FFFFFF"/>
        <w:spacing w:after="0" w:line="240" w:lineRule="auto"/>
        <w:rPr>
          <w:rFonts w:ascii="Calibri" w:eastAsia="Times New Roman" w:hAnsi="Calibri" w:cs="Calibri"/>
          <w:color w:val="1D2228"/>
          <w:lang w:eastAsia="nl-NL"/>
        </w:rPr>
      </w:pPr>
      <w:r w:rsidRPr="008A2CD0">
        <w:rPr>
          <w:rFonts w:ascii="Calibri" w:eastAsia="Times New Roman" w:hAnsi="Calibri" w:cs="Calibri"/>
          <w:color w:val="1D2228"/>
          <w:lang w:eastAsia="nl-NL"/>
        </w:rPr>
        <w:t>To determine the significant effect of formulation condition, molar ratio of DOTAP, or experimental variation on gene editing outcome a three-way ANOVA was performed on R. To illustrate the experimentally observed determinants of editing efficiency, a recursive partitioning and regression tree was generated using the R-package rpart  with the minsplit-parameter (minimum number of observations per node to be considered for splitting) set to 10, otherwise default settings were used. Efficiency was regressed based on the parameters: dotap (0%, 0.25%, 2%, 5%), condition (H20 vs. HEPES), and experimental series (E1, E2, or E3). The generated tree was drawn using the R-package partykit (2).</w:t>
      </w:r>
    </w:p>
    <w:p w14:paraId="0A528E03" w14:textId="77777777" w:rsidR="001E014D" w:rsidRPr="008A2CD0" w:rsidRDefault="001E014D" w:rsidP="002630F4">
      <w:pPr>
        <w:shd w:val="clear" w:color="auto" w:fill="FFFFFF"/>
        <w:spacing w:after="0" w:line="240" w:lineRule="auto"/>
        <w:rPr>
          <w:rFonts w:ascii="Calibri" w:eastAsia="Times New Roman" w:hAnsi="Calibri" w:cs="Calibri"/>
          <w:color w:val="1D2228"/>
          <w:lang w:eastAsia="nl-NL"/>
        </w:rPr>
      </w:pPr>
    </w:p>
    <w:p w14:paraId="1C1EAE55" w14:textId="77777777" w:rsidR="001E014D" w:rsidRPr="008A2CD0" w:rsidRDefault="001E014D" w:rsidP="002630F4">
      <w:pPr>
        <w:shd w:val="clear" w:color="auto" w:fill="FFFFFF"/>
        <w:spacing w:after="0" w:line="240" w:lineRule="auto"/>
        <w:rPr>
          <w:rFonts w:ascii="Calibri" w:eastAsia="Times New Roman" w:hAnsi="Calibri" w:cs="Calibri"/>
          <w:color w:val="1D2228"/>
          <w:lang w:eastAsia="nl-NL"/>
        </w:rPr>
      </w:pPr>
      <w:r w:rsidRPr="008A2CD0">
        <w:rPr>
          <w:rFonts w:ascii="Calibri" w:eastAsia="Times New Roman" w:hAnsi="Calibri" w:cs="Calibri"/>
          <w:color w:val="1D2228"/>
          <w:lang w:eastAsia="nl-NL"/>
        </w:rPr>
        <w:lastRenderedPageBreak/>
        <w:t>1) Terry Therneau, Beth Atkinson and Brian Ripley (2017). rpart: Recursive Partitioning and Regression Trees. R package</w:t>
      </w:r>
      <w:r>
        <w:rPr>
          <w:rFonts w:ascii="Calibri" w:eastAsia="Times New Roman" w:hAnsi="Calibri" w:cs="Calibri"/>
          <w:color w:val="1D2228"/>
          <w:lang w:eastAsia="nl-NL"/>
        </w:rPr>
        <w:t xml:space="preserve"> </w:t>
      </w:r>
      <w:r w:rsidRPr="008A2CD0">
        <w:rPr>
          <w:rFonts w:ascii="Calibri" w:eastAsia="Times New Roman" w:hAnsi="Calibri" w:cs="Calibri"/>
          <w:color w:val="1D2228"/>
          <w:lang w:eastAsia="nl-NL"/>
        </w:rPr>
        <w:t>version 4.1-11. https://CRAN.R-project.org/package=rpart</w:t>
      </w:r>
    </w:p>
    <w:p w14:paraId="6012B0EB" w14:textId="77777777" w:rsidR="001E014D" w:rsidRPr="008A2CD0" w:rsidRDefault="001E014D" w:rsidP="002630F4">
      <w:pPr>
        <w:shd w:val="clear" w:color="auto" w:fill="FFFFFF"/>
        <w:spacing w:after="0" w:line="240" w:lineRule="auto"/>
        <w:rPr>
          <w:rFonts w:ascii="Calibri" w:eastAsia="Times New Roman" w:hAnsi="Calibri" w:cs="Calibri"/>
          <w:color w:val="1D2228"/>
          <w:lang w:eastAsia="nl-NL"/>
        </w:rPr>
      </w:pPr>
      <w:r w:rsidRPr="008A2CD0">
        <w:rPr>
          <w:rFonts w:ascii="Calibri" w:eastAsia="Times New Roman" w:hAnsi="Calibri" w:cs="Calibri"/>
          <w:color w:val="1D2228"/>
          <w:lang w:eastAsia="nl-NL"/>
        </w:rPr>
        <w:t>2) Torsten Hothorn, Achim Zeileis (2015). partykit: A Modular Toolkit for Recursive Partytioning in R. Journal of Machine Learning Research, 16, 3905-3909. URL http://jmlr.org/papers/v16/hothorn15a.html</w:t>
      </w:r>
    </w:p>
    <w:p w14:paraId="481A107F" w14:textId="77777777" w:rsidR="001E014D" w:rsidRPr="008A2CD0" w:rsidRDefault="001E014D" w:rsidP="002630F4">
      <w:pPr>
        <w:rPr>
          <w:rFonts w:cstheme="minorHAnsi"/>
        </w:rPr>
      </w:pPr>
    </w:p>
    <w:p w14:paraId="2AF7ABE8" w14:textId="77777777" w:rsidR="001E014D" w:rsidRPr="008A2CD0" w:rsidRDefault="001E014D" w:rsidP="002630F4">
      <w:pPr>
        <w:rPr>
          <w:rFonts w:cstheme="minorHAnsi"/>
          <w:b/>
          <w:bCs/>
        </w:rPr>
      </w:pPr>
      <w:r w:rsidRPr="008A2CD0">
        <w:rPr>
          <w:rFonts w:cstheme="minorHAnsi"/>
          <w:b/>
          <w:bCs/>
        </w:rPr>
        <w:t>Analysis of results of statistical analysis</w:t>
      </w:r>
    </w:p>
    <w:p w14:paraId="7A8ABFF7" w14:textId="77777777" w:rsidR="001E014D" w:rsidRDefault="001E014D" w:rsidP="002630F4">
      <w:pPr>
        <w:rPr>
          <w:highlight w:val="yellow"/>
        </w:rPr>
      </w:pPr>
      <w:r w:rsidRPr="00AD22CB">
        <w:t>Statistical analysis shows that nuclease-free water, especially with lo</w:t>
      </w:r>
      <w:r w:rsidRPr="00210B41">
        <w:t xml:space="preserve">wer molar ratio of DOTAP, results in higher gene editing outcomes than particles formulated in HEPES buffer. Formulations made in HEPES buffer seem to require a higher molar ratio of DOTAP. </w:t>
      </w:r>
    </w:p>
    <w:p w14:paraId="37F35B05" w14:textId="77777777" w:rsidR="001E014D" w:rsidRPr="008A2CD0" w:rsidRDefault="001E014D" w:rsidP="002630F4">
      <w:pPr>
        <w:rPr>
          <w:rFonts w:cstheme="minorHAnsi"/>
          <w:b/>
          <w:bCs/>
          <w:noProof/>
          <w:sz w:val="20"/>
          <w:szCs w:val="20"/>
        </w:rPr>
      </w:pPr>
      <w:r>
        <w:rPr>
          <w:noProof/>
        </w:rPr>
        <w:lastRenderedPageBreak/>
        <w:drawing>
          <wp:inline distT="0" distB="0" distL="0" distR="0" wp14:anchorId="02E514A6" wp14:editId="2955E5CB">
            <wp:extent cx="5943600" cy="8100697"/>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1"/>
                    <pic:cNvPicPr/>
                  </pic:nvPicPr>
                  <pic:blipFill>
                    <a:blip r:embed="rId25">
                      <a:extLst>
                        <a:ext uri="{28A0092B-C50C-407E-A947-70E740481C1C}">
                          <a14:useLocalDpi xmlns:a14="http://schemas.microsoft.com/office/drawing/2010/main" val="0"/>
                        </a:ext>
                      </a:extLst>
                    </a:blip>
                    <a:stretch>
                      <a:fillRect/>
                    </a:stretch>
                  </pic:blipFill>
                  <pic:spPr>
                    <a:xfrm>
                      <a:off x="0" y="0"/>
                      <a:ext cx="5943600" cy="8100697"/>
                    </a:xfrm>
                    <a:prstGeom prst="rect">
                      <a:avLst/>
                    </a:prstGeom>
                  </pic:spPr>
                </pic:pic>
              </a:graphicData>
            </a:graphic>
          </wp:inline>
        </w:drawing>
      </w:r>
    </w:p>
    <w:p w14:paraId="0DF7A510" w14:textId="77777777" w:rsidR="001E014D" w:rsidRPr="008A2CD0" w:rsidRDefault="001E014D" w:rsidP="002630F4">
      <w:pPr>
        <w:rPr>
          <w:rFonts w:cstheme="minorHAnsi"/>
          <w:noProof/>
          <w:sz w:val="20"/>
          <w:szCs w:val="20"/>
        </w:rPr>
      </w:pPr>
      <w:r w:rsidRPr="008A2CD0">
        <w:rPr>
          <w:rFonts w:cstheme="minorHAnsi"/>
          <w:b/>
          <w:bCs/>
          <w:noProof/>
          <w:sz w:val="20"/>
          <w:szCs w:val="20"/>
        </w:rPr>
        <w:lastRenderedPageBreak/>
        <w:t>Supplementary figure S.6.5. Statistical analysis to determine the effect of formulation condition, experimental repeat, and molar ratio of DOTAP on gene knock</w:t>
      </w:r>
      <w:r>
        <w:rPr>
          <w:rFonts w:cstheme="minorHAnsi"/>
          <w:b/>
          <w:bCs/>
          <w:noProof/>
          <w:sz w:val="20"/>
          <w:szCs w:val="20"/>
        </w:rPr>
        <w:t>-</w:t>
      </w:r>
      <w:r w:rsidRPr="008A2CD0">
        <w:rPr>
          <w:rFonts w:cstheme="minorHAnsi"/>
          <w:b/>
          <w:bCs/>
          <w:noProof/>
          <w:sz w:val="20"/>
          <w:szCs w:val="20"/>
        </w:rPr>
        <w:t xml:space="preserve">out efficiency. A) </w:t>
      </w:r>
      <w:r w:rsidRPr="008A2CD0">
        <w:rPr>
          <w:rFonts w:cstheme="minorHAnsi"/>
          <w:noProof/>
          <w:sz w:val="20"/>
          <w:szCs w:val="20"/>
        </w:rPr>
        <w:t xml:space="preserve">Boxplots show range of gene knockout efficiency on </w:t>
      </w:r>
      <w:r>
        <w:rPr>
          <w:rFonts w:cstheme="minorHAnsi"/>
          <w:noProof/>
          <w:sz w:val="20"/>
          <w:szCs w:val="20"/>
        </w:rPr>
        <w:t xml:space="preserve">HEK293T </w:t>
      </w:r>
      <w:r w:rsidRPr="008A2CD0">
        <w:rPr>
          <w:rFonts w:cstheme="minorHAnsi"/>
          <w:noProof/>
          <w:sz w:val="20"/>
          <w:szCs w:val="20"/>
        </w:rPr>
        <w:t xml:space="preserve">stoplight cells for the two formulation conditions 50 mM </w:t>
      </w:r>
      <w:r>
        <w:rPr>
          <w:rFonts w:cstheme="minorHAnsi"/>
          <w:noProof/>
          <w:sz w:val="20"/>
          <w:szCs w:val="20"/>
        </w:rPr>
        <w:t>HEPES</w:t>
      </w:r>
      <w:r w:rsidRPr="008A2CD0" w:rsidDel="00601A81">
        <w:rPr>
          <w:rFonts w:cstheme="minorHAnsi"/>
          <w:noProof/>
          <w:sz w:val="20"/>
          <w:szCs w:val="20"/>
        </w:rPr>
        <w:t xml:space="preserve"> </w:t>
      </w:r>
      <w:r w:rsidRPr="008A2CD0">
        <w:rPr>
          <w:rFonts w:cstheme="minorHAnsi"/>
          <w:noProof/>
          <w:sz w:val="20"/>
          <w:szCs w:val="20"/>
        </w:rPr>
        <w:t>buffer pH 7.35 and nuclease-free water (H</w:t>
      </w:r>
      <w:r w:rsidRPr="00E8425F">
        <w:rPr>
          <w:rFonts w:cstheme="minorHAnsi"/>
          <w:noProof/>
          <w:sz w:val="20"/>
          <w:szCs w:val="20"/>
          <w:vertAlign w:val="subscript"/>
        </w:rPr>
        <w:t>2</w:t>
      </w:r>
      <w:r w:rsidRPr="008A2CD0">
        <w:rPr>
          <w:rFonts w:cstheme="minorHAnsi"/>
          <w:noProof/>
          <w:sz w:val="20"/>
          <w:szCs w:val="20"/>
        </w:rPr>
        <w:t>O) over the span of three individual experiments and various formulations with different molar ratios of DOTAP (0%, 0.25%, 2%, 5%). The latter is represented with varying square point sizes (smallest – 0% DOTAP, largest square – 5% DOTAP). Statistical significance is indicated with (*). Cond – HEPES buffer or nuclease-free water; exp – three repeats of experiment, dotap – molar ratio of DOTAP in lipid formulation</w:t>
      </w:r>
      <w:r w:rsidRPr="008A2CD0">
        <w:rPr>
          <w:rFonts w:cstheme="minorHAnsi"/>
          <w:b/>
          <w:sz w:val="20"/>
          <w:szCs w:val="20"/>
        </w:rPr>
        <w:t>. B)</w:t>
      </w:r>
      <w:r w:rsidRPr="008A2CD0">
        <w:rPr>
          <w:rFonts w:cstheme="minorHAnsi"/>
          <w:noProof/>
          <w:sz w:val="20"/>
          <w:szCs w:val="20"/>
        </w:rPr>
        <w:t xml:space="preserve"> Recursive partitioning and regression tree to visualize effect of formulation condition, molar ratio of DOTAP, and experimental repeats on gene editing efficiency.</w:t>
      </w:r>
    </w:p>
    <w:p w14:paraId="70840CE8" w14:textId="77777777" w:rsidR="001E014D" w:rsidRPr="00A52860" w:rsidRDefault="001E014D" w:rsidP="002630F4">
      <w:pPr>
        <w:rPr>
          <w:rFonts w:ascii="Times New Roman" w:hAnsi="Times New Roman" w:cs="Times New Roman"/>
          <w:noProof/>
          <w:sz w:val="20"/>
          <w:szCs w:val="20"/>
        </w:rPr>
      </w:pPr>
    </w:p>
    <w:p w14:paraId="14F02608" w14:textId="77777777" w:rsidR="001E014D" w:rsidRPr="00A52860" w:rsidRDefault="001E014D" w:rsidP="002630F4">
      <w:pPr>
        <w:rPr>
          <w:rFonts w:ascii="Times New Roman" w:hAnsi="Times New Roman" w:cs="Times New Roman"/>
          <w:noProof/>
          <w:sz w:val="20"/>
          <w:szCs w:val="20"/>
        </w:rPr>
      </w:pPr>
    </w:p>
    <w:p w14:paraId="5BEFBD39" w14:textId="77777777" w:rsidR="001E014D" w:rsidRDefault="001E014D" w:rsidP="002630F4">
      <w:pPr>
        <w:rPr>
          <w:rFonts w:cstheme="minorHAnsi"/>
          <w:b/>
          <w:bCs/>
        </w:rPr>
      </w:pPr>
      <w:r>
        <w:rPr>
          <w:noProof/>
        </w:rPr>
        <w:drawing>
          <wp:inline distT="0" distB="0" distL="0" distR="0" wp14:anchorId="5F5D6D25" wp14:editId="1E311177">
            <wp:extent cx="5943600" cy="5255258"/>
            <wp:effectExtent l="0" t="0" r="0" b="254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4"/>
                    <pic:cNvPicPr/>
                  </pic:nvPicPr>
                  <pic:blipFill>
                    <a:blip r:embed="rId26">
                      <a:extLst>
                        <a:ext uri="{28A0092B-C50C-407E-A947-70E740481C1C}">
                          <a14:useLocalDpi xmlns:a14="http://schemas.microsoft.com/office/drawing/2010/main" val="0"/>
                        </a:ext>
                      </a:extLst>
                    </a:blip>
                    <a:stretch>
                      <a:fillRect/>
                    </a:stretch>
                  </pic:blipFill>
                  <pic:spPr>
                    <a:xfrm>
                      <a:off x="0" y="0"/>
                      <a:ext cx="5943600" cy="5255258"/>
                    </a:xfrm>
                    <a:prstGeom prst="rect">
                      <a:avLst/>
                    </a:prstGeom>
                  </pic:spPr>
                </pic:pic>
              </a:graphicData>
            </a:graphic>
          </wp:inline>
        </w:drawing>
      </w:r>
    </w:p>
    <w:p w14:paraId="173B1604" w14:textId="77777777" w:rsidR="001E014D" w:rsidRDefault="001E014D" w:rsidP="002630F4">
      <w:pPr>
        <w:rPr>
          <w:rFonts w:cstheme="minorHAnsi"/>
          <w:b/>
          <w:bCs/>
        </w:rPr>
      </w:pPr>
      <w:r w:rsidRPr="008A2CD0">
        <w:rPr>
          <w:rFonts w:cstheme="minorHAnsi"/>
          <w:b/>
          <w:bCs/>
          <w:noProof/>
          <w:sz w:val="20"/>
          <w:szCs w:val="20"/>
        </w:rPr>
        <w:t>Supplementary figure S.6.</w:t>
      </w:r>
      <w:r>
        <w:rPr>
          <w:rFonts w:cstheme="minorHAnsi"/>
          <w:b/>
          <w:bCs/>
          <w:noProof/>
          <w:sz w:val="20"/>
          <w:szCs w:val="20"/>
        </w:rPr>
        <w:t xml:space="preserve">6: </w:t>
      </w:r>
      <w:r w:rsidRPr="00E03B27">
        <w:rPr>
          <w:rFonts w:cstheme="minorHAnsi"/>
          <w:noProof/>
          <w:sz w:val="20"/>
          <w:szCs w:val="20"/>
        </w:rPr>
        <w:t>Columbus analysis method used to calculate the EGFP-positive population in the Stoplight gene-editing assay.</w:t>
      </w:r>
      <w:r>
        <w:rPr>
          <w:rFonts w:cstheme="minorHAnsi"/>
          <w:b/>
          <w:bCs/>
        </w:rPr>
        <w:br w:type="page"/>
      </w:r>
    </w:p>
    <w:p w14:paraId="50C856EB" w14:textId="77777777" w:rsidR="001E014D" w:rsidRPr="003C5DFF" w:rsidRDefault="001E014D" w:rsidP="002630F4">
      <w:pPr>
        <w:rPr>
          <w:rFonts w:cstheme="minorHAnsi"/>
          <w:b/>
          <w:bCs/>
        </w:rPr>
      </w:pPr>
      <w:r w:rsidRPr="003C5DFF">
        <w:rPr>
          <w:rFonts w:cstheme="minorHAnsi"/>
          <w:b/>
          <w:bCs/>
        </w:rPr>
        <w:lastRenderedPageBreak/>
        <w:t>S.7: Supplementary characterization and AF4 data</w:t>
      </w:r>
    </w:p>
    <w:p w14:paraId="30BB4971" w14:textId="77777777" w:rsidR="001E014D" w:rsidRPr="00AE0FE8" w:rsidRDefault="001E014D" w:rsidP="002630F4">
      <w:r>
        <w:rPr>
          <w:noProof/>
        </w:rPr>
        <w:drawing>
          <wp:inline distT="0" distB="0" distL="0" distR="0" wp14:anchorId="5B77C0B8" wp14:editId="1C293F6B">
            <wp:extent cx="4857750" cy="602932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18269" b="25617"/>
                    <a:stretch/>
                  </pic:blipFill>
                  <pic:spPr bwMode="auto">
                    <a:xfrm>
                      <a:off x="0" y="0"/>
                      <a:ext cx="4857750" cy="6029325"/>
                    </a:xfrm>
                    <a:prstGeom prst="rect">
                      <a:avLst/>
                    </a:prstGeom>
                    <a:noFill/>
                    <a:ln>
                      <a:noFill/>
                    </a:ln>
                    <a:extLst>
                      <a:ext uri="{53640926-AAD7-44D8-BBD7-CCE9431645EC}">
                        <a14:shadowObscured xmlns:a14="http://schemas.microsoft.com/office/drawing/2010/main"/>
                      </a:ext>
                    </a:extLst>
                  </pic:spPr>
                </pic:pic>
              </a:graphicData>
            </a:graphic>
          </wp:inline>
        </w:drawing>
      </w:r>
    </w:p>
    <w:p w14:paraId="1BFD4640" w14:textId="77777777" w:rsidR="001E014D" w:rsidRPr="008A2CD0" w:rsidRDefault="001E014D" w:rsidP="43700660">
      <w:pPr>
        <w:rPr>
          <w:sz w:val="20"/>
          <w:szCs w:val="20"/>
        </w:rPr>
      </w:pPr>
      <w:r w:rsidRPr="4226CD0C">
        <w:rPr>
          <w:b/>
          <w:bCs/>
          <w:sz w:val="20"/>
          <w:szCs w:val="20"/>
        </w:rPr>
        <w:t>Supplementary figure S.7.1.</w:t>
      </w:r>
      <w:r w:rsidRPr="4226CD0C">
        <w:rPr>
          <w:sz w:val="20"/>
          <w:szCs w:val="20"/>
        </w:rPr>
        <w:t xml:space="preserve"> A: AF4  fractogram of  90 degrees scattered light (normalized) (lowest signal value corresponds to 0% and highest value corresponds to 100 %) to visualize retention time of  particles with </w:t>
      </w:r>
      <w:r>
        <w:rPr>
          <w:sz w:val="20"/>
          <w:szCs w:val="20"/>
        </w:rPr>
        <w:t xml:space="preserve">(black) </w:t>
      </w:r>
      <w:r w:rsidRPr="4226CD0C">
        <w:rPr>
          <w:sz w:val="20"/>
          <w:szCs w:val="20"/>
        </w:rPr>
        <w:t>and without incubation with 20 % plasma</w:t>
      </w:r>
      <w:r>
        <w:rPr>
          <w:sz w:val="20"/>
          <w:szCs w:val="20"/>
        </w:rPr>
        <w:t xml:space="preserve"> (pink)</w:t>
      </w:r>
      <w:r w:rsidRPr="4226CD0C">
        <w:rPr>
          <w:sz w:val="20"/>
          <w:szCs w:val="20"/>
        </w:rPr>
        <w:t>. B: Left panel: Overlay fractogram recorded by DLS detector of LNP-RNP-HDR [H2O] particle incubated with plasma</w:t>
      </w:r>
      <w:r>
        <w:rPr>
          <w:sz w:val="20"/>
          <w:szCs w:val="20"/>
        </w:rPr>
        <w:t xml:space="preserve"> (black) </w:t>
      </w:r>
      <w:r w:rsidRPr="4226CD0C">
        <w:rPr>
          <w:sz w:val="20"/>
          <w:szCs w:val="20"/>
        </w:rPr>
        <w:t>and plasma control</w:t>
      </w:r>
      <w:r>
        <w:rPr>
          <w:sz w:val="20"/>
          <w:szCs w:val="20"/>
        </w:rPr>
        <w:t xml:space="preserve"> (pink)</w:t>
      </w:r>
      <w:r w:rsidRPr="4226CD0C">
        <w:rPr>
          <w:sz w:val="20"/>
          <w:szCs w:val="20"/>
        </w:rPr>
        <w:t>. Right panel: MALS fractogram recorded by DLS detector of plasma control sample.</w:t>
      </w:r>
    </w:p>
    <w:p w14:paraId="5E7CC2B1" w14:textId="77777777" w:rsidR="001E014D" w:rsidRDefault="001E014D" w:rsidP="002630F4">
      <w:pPr>
        <w:rPr>
          <w:rFonts w:ascii="Times New Roman" w:hAnsi="Times New Roman" w:cs="Times New Roman"/>
          <w:sz w:val="20"/>
          <w:szCs w:val="20"/>
        </w:rPr>
      </w:pPr>
    </w:p>
    <w:p w14:paraId="7345D80A" w14:textId="77777777" w:rsidR="001E014D" w:rsidRDefault="001E014D" w:rsidP="002630F4">
      <w:pPr>
        <w:rPr>
          <w:rFonts w:ascii="Times New Roman" w:hAnsi="Times New Roman" w:cs="Times New Roman"/>
          <w:sz w:val="20"/>
          <w:szCs w:val="20"/>
        </w:rPr>
      </w:pPr>
    </w:p>
    <w:p w14:paraId="597DEC5F" w14:textId="77777777" w:rsidR="001E014D" w:rsidRDefault="001E014D" w:rsidP="002630F4">
      <w:pPr>
        <w:rPr>
          <w:rFonts w:ascii="Times New Roman" w:hAnsi="Times New Roman" w:cs="Times New Roman"/>
          <w:sz w:val="20"/>
          <w:szCs w:val="20"/>
        </w:rPr>
      </w:pPr>
    </w:p>
    <w:p w14:paraId="4EE1D25A" w14:textId="77777777" w:rsidR="001E014D" w:rsidRPr="003C5DFF" w:rsidRDefault="001E014D" w:rsidP="002630F4">
      <w:pPr>
        <w:rPr>
          <w:rFonts w:cstheme="minorHAnsi"/>
          <w:b/>
          <w:bCs/>
        </w:rPr>
      </w:pPr>
      <w:r w:rsidRPr="003C5DFF">
        <w:rPr>
          <w:rFonts w:cstheme="minorHAnsi"/>
          <w:b/>
          <w:bCs/>
        </w:rPr>
        <w:lastRenderedPageBreak/>
        <w:t>S.8: Supplementary information on LNP-RNP-HDR formulations</w:t>
      </w:r>
    </w:p>
    <w:p w14:paraId="484F985E" w14:textId="77777777" w:rsidR="001E014D" w:rsidRDefault="001E014D" w:rsidP="002630F4">
      <w:pPr>
        <w:rPr>
          <w:rFonts w:ascii="Times New Roman" w:hAnsi="Times New Roman" w:cs="Times New Roman"/>
          <w:sz w:val="20"/>
          <w:szCs w:val="20"/>
        </w:rPr>
      </w:pPr>
    </w:p>
    <w:p w14:paraId="3095278A" w14:textId="77777777" w:rsidR="001E014D" w:rsidRDefault="001E014D" w:rsidP="002630F4">
      <w:r>
        <w:rPr>
          <w:noProof/>
        </w:rPr>
        <w:drawing>
          <wp:inline distT="0" distB="0" distL="0" distR="0" wp14:anchorId="7572A6E9" wp14:editId="4A7A3DF1">
            <wp:extent cx="5943600" cy="4038600"/>
            <wp:effectExtent l="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3"/>
                    <pic:cNvPicPr/>
                  </pic:nvPicPr>
                  <pic:blipFill>
                    <a:blip r:embed="rId28">
                      <a:extLst>
                        <a:ext uri="{28A0092B-C50C-407E-A947-70E740481C1C}">
                          <a14:useLocalDpi xmlns:a14="http://schemas.microsoft.com/office/drawing/2010/main" val="0"/>
                        </a:ext>
                      </a:extLst>
                    </a:blip>
                    <a:stretch>
                      <a:fillRect/>
                    </a:stretch>
                  </pic:blipFill>
                  <pic:spPr>
                    <a:xfrm>
                      <a:off x="0" y="0"/>
                      <a:ext cx="5943600" cy="4038600"/>
                    </a:xfrm>
                    <a:prstGeom prst="rect">
                      <a:avLst/>
                    </a:prstGeom>
                  </pic:spPr>
                </pic:pic>
              </a:graphicData>
            </a:graphic>
          </wp:inline>
        </w:drawing>
      </w:r>
    </w:p>
    <w:p w14:paraId="651AA75B" w14:textId="77777777" w:rsidR="001E014D" w:rsidRPr="008A2CD0" w:rsidRDefault="001E014D" w:rsidP="002630F4">
      <w:pPr>
        <w:rPr>
          <w:sz w:val="20"/>
          <w:szCs w:val="20"/>
        </w:rPr>
      </w:pPr>
      <w:r w:rsidRPr="008A2CD0">
        <w:rPr>
          <w:b/>
          <w:bCs/>
          <w:sz w:val="20"/>
          <w:szCs w:val="20"/>
        </w:rPr>
        <w:t>Supplementary figure S.8.1</w:t>
      </w:r>
      <w:r w:rsidRPr="008A2CD0">
        <w:rPr>
          <w:sz w:val="20"/>
          <w:szCs w:val="20"/>
        </w:rPr>
        <w:t xml:space="preserve">: LNP-RNP-HDR </w:t>
      </w:r>
      <w:r>
        <w:rPr>
          <w:sz w:val="20"/>
          <w:szCs w:val="20"/>
        </w:rPr>
        <w:t xml:space="preserve">[HEPES] </w:t>
      </w:r>
      <w:r w:rsidRPr="008A2CD0">
        <w:rPr>
          <w:sz w:val="20"/>
          <w:szCs w:val="20"/>
        </w:rPr>
        <w:t>optimization study with additional DOTAP concentrations. Removal of DOTAP from the formulation leads to an overall decrease of the editing efficiency.</w:t>
      </w:r>
    </w:p>
    <w:p w14:paraId="4A93402D" w14:textId="77777777" w:rsidR="001E014D" w:rsidRDefault="001E014D" w:rsidP="002630F4"/>
    <w:p w14:paraId="0E11CA54" w14:textId="77777777" w:rsidR="001E014D" w:rsidRDefault="001E014D" w:rsidP="002630F4">
      <w:r>
        <w:br w:type="page"/>
      </w:r>
    </w:p>
    <w:p w14:paraId="5B8BB309" w14:textId="77777777" w:rsidR="001E014D" w:rsidRDefault="001E014D" w:rsidP="002630F4">
      <w:r>
        <w:rPr>
          <w:noProof/>
        </w:rPr>
        <w:lastRenderedPageBreak/>
        <w:drawing>
          <wp:inline distT="0" distB="0" distL="0" distR="0" wp14:anchorId="4EA725C9" wp14:editId="7D6164AF">
            <wp:extent cx="6439461" cy="179699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pic:nvPicPr>
                  <pic:blipFill>
                    <a:blip r:embed="rId29">
                      <a:extLst>
                        <a:ext uri="{28A0092B-C50C-407E-A947-70E740481C1C}">
                          <a14:useLocalDpi xmlns:a14="http://schemas.microsoft.com/office/drawing/2010/main" val="0"/>
                        </a:ext>
                      </a:extLst>
                    </a:blip>
                    <a:stretch>
                      <a:fillRect/>
                    </a:stretch>
                  </pic:blipFill>
                  <pic:spPr>
                    <a:xfrm>
                      <a:off x="0" y="0"/>
                      <a:ext cx="6439461" cy="1796995"/>
                    </a:xfrm>
                    <a:prstGeom prst="rect">
                      <a:avLst/>
                    </a:prstGeom>
                  </pic:spPr>
                </pic:pic>
              </a:graphicData>
            </a:graphic>
          </wp:inline>
        </w:drawing>
      </w:r>
    </w:p>
    <w:p w14:paraId="196034CB" w14:textId="77777777" w:rsidR="001E014D" w:rsidRDefault="001E014D" w:rsidP="614F472E">
      <w:pPr>
        <w:rPr>
          <w:sz w:val="20"/>
          <w:szCs w:val="20"/>
        </w:rPr>
      </w:pPr>
      <w:r w:rsidRPr="614F472E">
        <w:rPr>
          <w:b/>
          <w:bCs/>
          <w:sz w:val="20"/>
          <w:szCs w:val="20"/>
        </w:rPr>
        <w:t>Supplementary figure S.8.2.:</w:t>
      </w:r>
      <w:r w:rsidRPr="614F472E">
        <w:rPr>
          <w:sz w:val="20"/>
          <w:szCs w:val="20"/>
        </w:rPr>
        <w:t xml:space="preserve"> Full T7E1 assay performed on HEK-EGFP treated with ascending dosages of LNP-RNP-HDR with a 1:2 molar ratio of RNP:HDR template and 0.25% DOTAP in the formulation. ProDeliverIN RNP were prepared with an additional 1:1 molar ratio of HDR template. Cells were harvested from the same population as the flow cytometry data presented in Fig. 6.d. </w:t>
      </w:r>
    </w:p>
    <w:p w14:paraId="1AD5FF07" w14:textId="77777777" w:rsidR="001E014D" w:rsidRPr="00BC5F0B" w:rsidRDefault="001E014D" w:rsidP="614F472E">
      <w:pPr>
        <w:spacing w:line="257" w:lineRule="auto"/>
        <w:rPr>
          <w:rFonts w:ascii="Calibri" w:hAnsi="Calibri"/>
          <w:sz w:val="20"/>
          <w:szCs w:val="20"/>
        </w:rPr>
      </w:pPr>
    </w:p>
    <w:sectPr w:rsidR="001E014D" w:rsidRPr="00BC5F0B" w:rsidSect="002630F4">
      <w:headerReference w:type="first" r:id="rId30"/>
      <w:footerReference w:type="firs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2473E" w14:textId="77777777" w:rsidR="006A1E7C" w:rsidRDefault="006A1E7C">
      <w:pPr>
        <w:spacing w:after="0" w:line="240" w:lineRule="auto"/>
      </w:pPr>
      <w:r>
        <w:separator/>
      </w:r>
    </w:p>
  </w:endnote>
  <w:endnote w:type="continuationSeparator" w:id="0">
    <w:p w14:paraId="392EFC38" w14:textId="77777777" w:rsidR="006A1E7C" w:rsidRDefault="006A1E7C">
      <w:pPr>
        <w:spacing w:after="0" w:line="240" w:lineRule="auto"/>
      </w:pPr>
      <w:r>
        <w:continuationSeparator/>
      </w:r>
    </w:p>
  </w:endnote>
  <w:endnote w:type="continuationNotice" w:id="1">
    <w:p w14:paraId="32C9E06E" w14:textId="77777777" w:rsidR="006A1E7C" w:rsidRDefault="006A1E7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ayout w:type="fixed"/>
      <w:tblLook w:val="06A0" w:firstRow="1" w:lastRow="0" w:firstColumn="1" w:lastColumn="0" w:noHBand="1" w:noVBand="1"/>
    </w:tblPr>
    <w:tblGrid>
      <w:gridCol w:w="3120"/>
      <w:gridCol w:w="3120"/>
      <w:gridCol w:w="3120"/>
    </w:tblGrid>
    <w:tr w:rsidR="005B36C5" w14:paraId="499D5883" w14:textId="77777777" w:rsidTr="005B36C5">
      <w:tc>
        <w:tcPr>
          <w:tcW w:w="3120" w:type="dxa"/>
        </w:tcPr>
        <w:p w14:paraId="08096867" w14:textId="77777777" w:rsidR="005B36C5" w:rsidRDefault="005B36C5" w:rsidP="005B36C5"/>
      </w:tc>
      <w:tc>
        <w:tcPr>
          <w:tcW w:w="3120" w:type="dxa"/>
        </w:tcPr>
        <w:p w14:paraId="6BF6DF5A" w14:textId="77777777" w:rsidR="005B36C5" w:rsidRDefault="005B36C5" w:rsidP="005B36C5"/>
      </w:tc>
      <w:tc>
        <w:tcPr>
          <w:tcW w:w="3120" w:type="dxa"/>
        </w:tcPr>
        <w:p w14:paraId="78E378C7" w14:textId="77777777" w:rsidR="005B36C5" w:rsidRDefault="005B36C5" w:rsidP="005B36C5"/>
      </w:tc>
    </w:tr>
  </w:tbl>
  <w:p w14:paraId="34597AEC" w14:textId="77777777" w:rsidR="005B36C5" w:rsidRDefault="005B36C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9CDFD" w14:textId="77777777" w:rsidR="006A1E7C" w:rsidRDefault="006A1E7C">
      <w:pPr>
        <w:spacing w:after="0" w:line="240" w:lineRule="auto"/>
      </w:pPr>
      <w:r>
        <w:separator/>
      </w:r>
    </w:p>
  </w:footnote>
  <w:footnote w:type="continuationSeparator" w:id="0">
    <w:p w14:paraId="192E7842" w14:textId="77777777" w:rsidR="006A1E7C" w:rsidRDefault="006A1E7C">
      <w:pPr>
        <w:spacing w:after="0" w:line="240" w:lineRule="auto"/>
      </w:pPr>
      <w:r>
        <w:continuationSeparator/>
      </w:r>
    </w:p>
  </w:footnote>
  <w:footnote w:type="continuationNotice" w:id="1">
    <w:p w14:paraId="68BA47D8" w14:textId="77777777" w:rsidR="006A1E7C" w:rsidRDefault="006A1E7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ayout w:type="fixed"/>
      <w:tblLook w:val="06A0" w:firstRow="1" w:lastRow="0" w:firstColumn="1" w:lastColumn="0" w:noHBand="1" w:noVBand="1"/>
    </w:tblPr>
    <w:tblGrid>
      <w:gridCol w:w="3120"/>
      <w:gridCol w:w="3120"/>
      <w:gridCol w:w="3120"/>
    </w:tblGrid>
    <w:tr w:rsidR="005B36C5" w14:paraId="69086D6D" w14:textId="77777777" w:rsidTr="005B36C5">
      <w:tc>
        <w:tcPr>
          <w:tcW w:w="3120" w:type="dxa"/>
        </w:tcPr>
        <w:p w14:paraId="206C6010" w14:textId="77777777" w:rsidR="005B36C5" w:rsidRDefault="005B36C5" w:rsidP="005B36C5"/>
      </w:tc>
      <w:tc>
        <w:tcPr>
          <w:tcW w:w="3120" w:type="dxa"/>
        </w:tcPr>
        <w:p w14:paraId="78AE1BFA" w14:textId="77777777" w:rsidR="005B36C5" w:rsidRDefault="005B36C5" w:rsidP="005B36C5"/>
      </w:tc>
      <w:tc>
        <w:tcPr>
          <w:tcW w:w="3120" w:type="dxa"/>
        </w:tcPr>
        <w:p w14:paraId="4A7441AD" w14:textId="77777777" w:rsidR="005B36C5" w:rsidRDefault="005B36C5" w:rsidP="005B36C5"/>
      </w:tc>
    </w:tr>
  </w:tbl>
  <w:p w14:paraId="035AD7CD" w14:textId="77777777" w:rsidR="005B36C5" w:rsidRDefault="005B36C5">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092D44"/>
    <w:multiLevelType w:val="hybridMultilevel"/>
    <w:tmpl w:val="C6AAF51E"/>
    <w:lvl w:ilvl="0" w:tplc="3402AAD6">
      <w:start w:val="1"/>
      <w:numFmt w:val="lowerRoman"/>
      <w:lvlText w:val="%1."/>
      <w:lvlJc w:val="left"/>
      <w:pPr>
        <w:ind w:left="1080" w:hanging="720"/>
      </w:pPr>
      <w:rPr>
        <w:rFonts w:asciiTheme="minorHAnsi" w:eastAsiaTheme="minorHAnsi" w:hAnsiTheme="minorHAnsi" w:cstheme="minorBidi"/>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2DD1025"/>
    <w:multiLevelType w:val="hybridMultilevel"/>
    <w:tmpl w:val="B0C860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49B57515"/>
    <w:multiLevelType w:val="hybridMultilevel"/>
    <w:tmpl w:val="A37EC816"/>
    <w:lvl w:ilvl="0" w:tplc="FCC23A52">
      <w:start w:val="1"/>
      <w:numFmt w:val="low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0F4"/>
    <w:rsid w:val="00040D4D"/>
    <w:rsid w:val="000417B6"/>
    <w:rsid w:val="00074664"/>
    <w:rsid w:val="00095628"/>
    <w:rsid w:val="000A1B11"/>
    <w:rsid w:val="000B2AD7"/>
    <w:rsid w:val="000B5B76"/>
    <w:rsid w:val="000B7275"/>
    <w:rsid w:val="0012100C"/>
    <w:rsid w:val="00124B8A"/>
    <w:rsid w:val="0015115E"/>
    <w:rsid w:val="001535AB"/>
    <w:rsid w:val="00196735"/>
    <w:rsid w:val="001E014D"/>
    <w:rsid w:val="00207BCD"/>
    <w:rsid w:val="002119C3"/>
    <w:rsid w:val="00260F48"/>
    <w:rsid w:val="002630F4"/>
    <w:rsid w:val="002838CB"/>
    <w:rsid w:val="002E1A50"/>
    <w:rsid w:val="002F6416"/>
    <w:rsid w:val="00313340"/>
    <w:rsid w:val="00313482"/>
    <w:rsid w:val="00333FCD"/>
    <w:rsid w:val="00337878"/>
    <w:rsid w:val="00337BD2"/>
    <w:rsid w:val="00341512"/>
    <w:rsid w:val="00373CC5"/>
    <w:rsid w:val="003B2CF5"/>
    <w:rsid w:val="003D2197"/>
    <w:rsid w:val="003E07DA"/>
    <w:rsid w:val="00400D21"/>
    <w:rsid w:val="00407DFE"/>
    <w:rsid w:val="00423C97"/>
    <w:rsid w:val="00467E1A"/>
    <w:rsid w:val="004839DC"/>
    <w:rsid w:val="004B31FA"/>
    <w:rsid w:val="004C1C69"/>
    <w:rsid w:val="004D37C5"/>
    <w:rsid w:val="00543687"/>
    <w:rsid w:val="0056372E"/>
    <w:rsid w:val="0059754B"/>
    <w:rsid w:val="005A0164"/>
    <w:rsid w:val="005B36C5"/>
    <w:rsid w:val="00620BDF"/>
    <w:rsid w:val="00643013"/>
    <w:rsid w:val="00651DD3"/>
    <w:rsid w:val="006575E8"/>
    <w:rsid w:val="006905C4"/>
    <w:rsid w:val="00692D2F"/>
    <w:rsid w:val="006A1E7C"/>
    <w:rsid w:val="006B3909"/>
    <w:rsid w:val="00725B84"/>
    <w:rsid w:val="007466FE"/>
    <w:rsid w:val="007607D4"/>
    <w:rsid w:val="007A3363"/>
    <w:rsid w:val="007B1679"/>
    <w:rsid w:val="007D65EF"/>
    <w:rsid w:val="0080007A"/>
    <w:rsid w:val="00801045"/>
    <w:rsid w:val="00895F46"/>
    <w:rsid w:val="008A4964"/>
    <w:rsid w:val="008C0E2E"/>
    <w:rsid w:val="008C49F1"/>
    <w:rsid w:val="008F6DE8"/>
    <w:rsid w:val="0090440C"/>
    <w:rsid w:val="009353BB"/>
    <w:rsid w:val="009560CE"/>
    <w:rsid w:val="00973078"/>
    <w:rsid w:val="00995315"/>
    <w:rsid w:val="009A1B1F"/>
    <w:rsid w:val="009E081F"/>
    <w:rsid w:val="009F0C77"/>
    <w:rsid w:val="009F451C"/>
    <w:rsid w:val="009F6FEA"/>
    <w:rsid w:val="00A10292"/>
    <w:rsid w:val="00A333A9"/>
    <w:rsid w:val="00A436DA"/>
    <w:rsid w:val="00A45509"/>
    <w:rsid w:val="00AE15AF"/>
    <w:rsid w:val="00B1587D"/>
    <w:rsid w:val="00B26D05"/>
    <w:rsid w:val="00BB2E8C"/>
    <w:rsid w:val="00BC2049"/>
    <w:rsid w:val="00BC5F0B"/>
    <w:rsid w:val="00BD4E3D"/>
    <w:rsid w:val="00BF4E24"/>
    <w:rsid w:val="00C71915"/>
    <w:rsid w:val="00D65F51"/>
    <w:rsid w:val="00D82829"/>
    <w:rsid w:val="00DB0E98"/>
    <w:rsid w:val="00DE7D50"/>
    <w:rsid w:val="00DF0A24"/>
    <w:rsid w:val="00E575BE"/>
    <w:rsid w:val="00EC5E4D"/>
    <w:rsid w:val="00ED00E7"/>
    <w:rsid w:val="00EE4668"/>
    <w:rsid w:val="00EF5597"/>
    <w:rsid w:val="00F03351"/>
    <w:rsid w:val="00F247F9"/>
    <w:rsid w:val="00F34D1A"/>
    <w:rsid w:val="00FA1E6D"/>
    <w:rsid w:val="00FB0AB8"/>
    <w:rsid w:val="07FD44A6"/>
    <w:rsid w:val="0BF1DE24"/>
    <w:rsid w:val="10142563"/>
    <w:rsid w:val="14793D84"/>
    <w:rsid w:val="150D70CB"/>
    <w:rsid w:val="18A908C0"/>
    <w:rsid w:val="1E93FC35"/>
    <w:rsid w:val="218D9D1B"/>
    <w:rsid w:val="21A90FDF"/>
    <w:rsid w:val="222A129C"/>
    <w:rsid w:val="25C6EC40"/>
    <w:rsid w:val="27492FEA"/>
    <w:rsid w:val="292EED72"/>
    <w:rsid w:val="2A18028C"/>
    <w:rsid w:val="2CFEDC3D"/>
    <w:rsid w:val="2DF29283"/>
    <w:rsid w:val="3297179B"/>
    <w:rsid w:val="33E29408"/>
    <w:rsid w:val="3494505D"/>
    <w:rsid w:val="391C9E52"/>
    <w:rsid w:val="39AB8363"/>
    <w:rsid w:val="3C186C8F"/>
    <w:rsid w:val="3FB8F81B"/>
    <w:rsid w:val="4226CD0C"/>
    <w:rsid w:val="43700660"/>
    <w:rsid w:val="43BE35F4"/>
    <w:rsid w:val="47BAFB00"/>
    <w:rsid w:val="489C68EC"/>
    <w:rsid w:val="49D2B91D"/>
    <w:rsid w:val="4AC1F45A"/>
    <w:rsid w:val="4AF03DE2"/>
    <w:rsid w:val="4C819AF1"/>
    <w:rsid w:val="4E111427"/>
    <w:rsid w:val="4F91709E"/>
    <w:rsid w:val="4FACE488"/>
    <w:rsid w:val="51A2ABE6"/>
    <w:rsid w:val="51D4A698"/>
    <w:rsid w:val="54A1BCFE"/>
    <w:rsid w:val="589918C1"/>
    <w:rsid w:val="590999DC"/>
    <w:rsid w:val="5C99296E"/>
    <w:rsid w:val="5D105939"/>
    <w:rsid w:val="5E3B55A2"/>
    <w:rsid w:val="614F472E"/>
    <w:rsid w:val="644DA6CA"/>
    <w:rsid w:val="64A788C2"/>
    <w:rsid w:val="6766E95A"/>
    <w:rsid w:val="686A6ADE"/>
    <w:rsid w:val="6B4C473B"/>
    <w:rsid w:val="6B7961D8"/>
    <w:rsid w:val="6D37DBC7"/>
    <w:rsid w:val="6E8E9B79"/>
    <w:rsid w:val="6F0B251F"/>
    <w:rsid w:val="6FD9C5FF"/>
    <w:rsid w:val="73DBD5EF"/>
    <w:rsid w:val="75578D87"/>
    <w:rsid w:val="7B8B7AF2"/>
    <w:rsid w:val="7E32B32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0B56F2E"/>
  <w15:chartTrackingRefBased/>
  <w15:docId w15:val="{685E3885-32FC-47B5-9A9A-A67516BD0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2630F4"/>
    <w:rPr>
      <w:rFonts w:eastAsiaTheme="minorEastAsia"/>
      <w:lang w:val="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normaltextrun">
    <w:name w:val="normaltextrun"/>
    <w:basedOn w:val="Standaardalinea-lettertype"/>
    <w:rsid w:val="002630F4"/>
  </w:style>
  <w:style w:type="table" w:styleId="Tabelraster">
    <w:name w:val="Table Grid"/>
    <w:basedOn w:val="Standaardtabel"/>
    <w:uiPriority w:val="39"/>
    <w:rsid w:val="002630F4"/>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2630F4"/>
    <w:pPr>
      <w:ind w:left="720"/>
      <w:contextualSpacing/>
    </w:pPr>
  </w:style>
  <w:style w:type="paragraph" w:styleId="Koptekst">
    <w:name w:val="header"/>
    <w:basedOn w:val="Standaard"/>
    <w:link w:val="KoptekstChar"/>
    <w:uiPriority w:val="99"/>
    <w:unhideWhenUsed/>
    <w:rsid w:val="002630F4"/>
    <w:pPr>
      <w:tabs>
        <w:tab w:val="center" w:pos="4513"/>
        <w:tab w:val="right" w:pos="9026"/>
      </w:tabs>
      <w:spacing w:after="0" w:line="240" w:lineRule="auto"/>
    </w:pPr>
  </w:style>
  <w:style w:type="character" w:customStyle="1" w:styleId="KoptekstChar">
    <w:name w:val="Koptekst Char"/>
    <w:basedOn w:val="Standaardalinea-lettertype"/>
    <w:link w:val="Koptekst"/>
    <w:uiPriority w:val="99"/>
    <w:rsid w:val="002630F4"/>
    <w:rPr>
      <w:rFonts w:eastAsiaTheme="minorEastAsia"/>
      <w:lang w:val="en-US"/>
    </w:rPr>
  </w:style>
  <w:style w:type="paragraph" w:styleId="Voettekst">
    <w:name w:val="footer"/>
    <w:basedOn w:val="Standaard"/>
    <w:link w:val="VoettekstChar"/>
    <w:uiPriority w:val="99"/>
    <w:unhideWhenUsed/>
    <w:rsid w:val="002630F4"/>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2630F4"/>
    <w:rPr>
      <w:rFonts w:eastAsiaTheme="minorEastAsia"/>
      <w:lang w:val="en-US"/>
    </w:rPr>
  </w:style>
  <w:style w:type="paragraph" w:customStyle="1" w:styleId="RSCI04CaptiontoFigureSchemeChart">
    <w:name w:val="RSC I04 Caption to Figure/Scheme/Chart"/>
    <w:link w:val="RSCI04CaptiontoFigureSchemeChartChar"/>
    <w:qFormat/>
    <w:rsid w:val="002630F4"/>
    <w:pPr>
      <w:spacing w:after="200" w:line="200" w:lineRule="exact"/>
      <w:jc w:val="both"/>
    </w:pPr>
    <w:rPr>
      <w:bCs/>
      <w:sz w:val="14"/>
      <w:szCs w:val="18"/>
      <w:lang w:val="en-GB"/>
    </w:rPr>
  </w:style>
  <w:style w:type="character" w:customStyle="1" w:styleId="RSCI04CaptiontoFigureSchemeChartChar">
    <w:name w:val="RSC I04 Caption to Figure/Scheme/Chart Char"/>
    <w:basedOn w:val="Standaardalinea-lettertype"/>
    <w:link w:val="RSCI04CaptiontoFigureSchemeChart"/>
    <w:rsid w:val="002630F4"/>
    <w:rPr>
      <w:bCs/>
      <w:sz w:val="14"/>
      <w:szCs w:val="18"/>
      <w:lang w:val="en-GB"/>
    </w:rPr>
  </w:style>
  <w:style w:type="paragraph" w:styleId="Tekstopmerking">
    <w:name w:val="annotation text"/>
    <w:basedOn w:val="Standaard"/>
    <w:link w:val="TekstopmerkingChar"/>
    <w:uiPriority w:val="99"/>
    <w:semiHidden/>
    <w:unhideWhenUsed/>
    <w:pPr>
      <w:spacing w:line="240" w:lineRule="auto"/>
    </w:pPr>
    <w:rPr>
      <w:sz w:val="20"/>
      <w:szCs w:val="20"/>
    </w:rPr>
  </w:style>
  <w:style w:type="character" w:customStyle="1" w:styleId="TekstopmerkingChar">
    <w:name w:val="Tekst opmerking Char"/>
    <w:basedOn w:val="Standaardalinea-lettertype"/>
    <w:link w:val="Tekstopmerking"/>
    <w:uiPriority w:val="99"/>
    <w:semiHidden/>
    <w:rPr>
      <w:rFonts w:eastAsiaTheme="minorEastAsia"/>
      <w:sz w:val="20"/>
      <w:szCs w:val="20"/>
      <w:lang w:val="en-US"/>
    </w:rPr>
  </w:style>
  <w:style w:type="character" w:styleId="Verwijzingopmerking">
    <w:name w:val="annotation reference"/>
    <w:basedOn w:val="Standaardalinea-lettertype"/>
    <w:uiPriority w:val="99"/>
    <w:semiHidden/>
    <w:unhideWhenUsed/>
    <w:rPr>
      <w:sz w:val="16"/>
      <w:szCs w:val="16"/>
    </w:rPr>
  </w:style>
  <w:style w:type="paragraph" w:styleId="Onderwerpvanopmerking">
    <w:name w:val="annotation subject"/>
    <w:basedOn w:val="Tekstopmerking"/>
    <w:next w:val="Tekstopmerking"/>
    <w:link w:val="OnderwerpvanopmerkingChar"/>
    <w:uiPriority w:val="99"/>
    <w:semiHidden/>
    <w:unhideWhenUsed/>
    <w:rsid w:val="00B1587D"/>
    <w:rPr>
      <w:b/>
      <w:bCs/>
    </w:rPr>
  </w:style>
  <w:style w:type="character" w:customStyle="1" w:styleId="OnderwerpvanopmerkingChar">
    <w:name w:val="Onderwerp van opmerking Char"/>
    <w:basedOn w:val="TekstopmerkingChar"/>
    <w:link w:val="Onderwerpvanopmerking"/>
    <w:uiPriority w:val="99"/>
    <w:semiHidden/>
    <w:rsid w:val="00B1587D"/>
    <w:rPr>
      <w:rFonts w:eastAsiaTheme="minorEastAsia"/>
      <w:b/>
      <w:bCs/>
      <w:sz w:val="20"/>
      <w:szCs w:val="20"/>
      <w:lang w:val="en-US"/>
    </w:rPr>
  </w:style>
  <w:style w:type="paragraph" w:customStyle="1" w:styleId="RSCB02ArticleText">
    <w:name w:val="RSC B02 Article Text"/>
    <w:basedOn w:val="Standaard"/>
    <w:link w:val="RSCB02ArticleTextChar"/>
    <w:qFormat/>
    <w:rsid w:val="00A45509"/>
    <w:pPr>
      <w:spacing w:after="0" w:line="240" w:lineRule="exact"/>
      <w:jc w:val="both"/>
    </w:pPr>
    <w:rPr>
      <w:rFonts w:eastAsiaTheme="minorHAnsi" w:cs="Times New Roman"/>
      <w:w w:val="108"/>
      <w:sz w:val="18"/>
      <w:szCs w:val="18"/>
      <w:lang w:val="en-GB"/>
    </w:rPr>
  </w:style>
  <w:style w:type="character" w:customStyle="1" w:styleId="RSCB02ArticleTextChar">
    <w:name w:val="RSC B02 Article Text Char"/>
    <w:basedOn w:val="Standaardalinea-lettertype"/>
    <w:link w:val="RSCB02ArticleText"/>
    <w:rsid w:val="00A45509"/>
    <w:rPr>
      <w:rFonts w:cs="Times New Roman"/>
      <w:w w:val="108"/>
      <w:sz w:val="18"/>
      <w:szCs w:val="18"/>
      <w:lang w:val="en-GB"/>
    </w:rPr>
  </w:style>
  <w:style w:type="paragraph" w:customStyle="1" w:styleId="RSCB06BHeadingSub-Section">
    <w:name w:val="RSC B06 B Heading (Sub-Section)"/>
    <w:link w:val="RSCB06BHeadingSub-SectionChar"/>
    <w:qFormat/>
    <w:rsid w:val="00A45509"/>
    <w:pPr>
      <w:spacing w:after="80" w:line="240" w:lineRule="exact"/>
    </w:pPr>
    <w:rPr>
      <w:b/>
      <w:sz w:val="18"/>
      <w:lang w:val="en-GB"/>
    </w:rPr>
  </w:style>
  <w:style w:type="character" w:customStyle="1" w:styleId="RSCB06BHeadingSub-SectionChar">
    <w:name w:val="RSC B06 B Heading (Sub-Section) Char"/>
    <w:basedOn w:val="Standaardalinea-lettertype"/>
    <w:link w:val="RSCB06BHeadingSub-Section"/>
    <w:rsid w:val="00A45509"/>
    <w:rPr>
      <w:b/>
      <w:sz w:val="18"/>
      <w:lang w:val="en-GB"/>
    </w:rPr>
  </w:style>
  <w:style w:type="paragraph" w:styleId="Ballontekst">
    <w:name w:val="Balloon Text"/>
    <w:basedOn w:val="Standaard"/>
    <w:link w:val="BallontekstChar"/>
    <w:uiPriority w:val="99"/>
    <w:semiHidden/>
    <w:unhideWhenUsed/>
    <w:rsid w:val="003E07DA"/>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3E07DA"/>
    <w:rPr>
      <w:rFonts w:ascii="Segoe UI" w:eastAsiaTheme="minorEastAsia" w:hAnsi="Segoe UI" w:cs="Segoe UI"/>
      <w:sz w:val="18"/>
      <w:szCs w:val="18"/>
      <w:lang w:val="en-US"/>
    </w:rPr>
  </w:style>
  <w:style w:type="character" w:styleId="Tekstvantijdelijkeaanduiding">
    <w:name w:val="Placeholder Text"/>
    <w:basedOn w:val="Standaardalinea-lettertype"/>
    <w:uiPriority w:val="99"/>
    <w:semiHidden/>
    <w:rsid w:val="001E014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8576684">
      <w:bodyDiv w:val="1"/>
      <w:marLeft w:val="0"/>
      <w:marRight w:val="0"/>
      <w:marTop w:val="0"/>
      <w:marBottom w:val="0"/>
      <w:divBdr>
        <w:top w:val="none" w:sz="0" w:space="0" w:color="auto"/>
        <w:left w:val="none" w:sz="0" w:space="0" w:color="auto"/>
        <w:bottom w:val="none" w:sz="0" w:space="0" w:color="auto"/>
        <w:right w:val="none" w:sz="0" w:space="0" w:color="auto"/>
      </w:divBdr>
      <w:divsChild>
        <w:div w:id="2119179401">
          <w:marLeft w:val="640"/>
          <w:marRight w:val="0"/>
          <w:marTop w:val="0"/>
          <w:marBottom w:val="0"/>
          <w:divBdr>
            <w:top w:val="none" w:sz="0" w:space="0" w:color="auto"/>
            <w:left w:val="none" w:sz="0" w:space="0" w:color="auto"/>
            <w:bottom w:val="none" w:sz="0" w:space="0" w:color="auto"/>
            <w:right w:val="none" w:sz="0" w:space="0" w:color="auto"/>
          </w:divBdr>
        </w:div>
        <w:div w:id="1374505038">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tiff"/><Relationship Id="rId26" Type="http://schemas.openxmlformats.org/officeDocument/2006/relationships/image" Target="media/image15.tiff"/><Relationship Id="rId3" Type="http://schemas.openxmlformats.org/officeDocument/2006/relationships/customXml" Target="../customXml/item3.xml"/><Relationship Id="rId21" Type="http://schemas.openxmlformats.org/officeDocument/2006/relationships/image" Target="media/image10.tif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4.tif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oleObject" Target="embeddings/oleObject1.bin"/><Relationship Id="rId29" Type="http://schemas.openxmlformats.org/officeDocument/2006/relationships/image" Target="media/image1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3.tif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2.tiff"/><Relationship Id="rId28" Type="http://schemas.openxmlformats.org/officeDocument/2006/relationships/image" Target="media/image17.tif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1.tiff"/><Relationship Id="rId27" Type="http://schemas.openxmlformats.org/officeDocument/2006/relationships/image" Target="media/image16.tiff"/><Relationship Id="rId30" Type="http://schemas.openxmlformats.org/officeDocument/2006/relationships/header" Target="header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88CEABA48BA4E3F982AF0595C5ABFAA"/>
        <w:category>
          <w:name w:val="Algemeen"/>
          <w:gallery w:val="placeholder"/>
        </w:category>
        <w:types>
          <w:type w:val="bbPlcHdr"/>
        </w:types>
        <w:behaviors>
          <w:behavior w:val="content"/>
        </w:behaviors>
        <w:guid w:val="{1E9AF04D-5B39-4521-8C22-7EC00221C811}"/>
      </w:docPartPr>
      <w:docPartBody>
        <w:p w:rsidR="00000000" w:rsidRDefault="00CE6738" w:rsidP="00CE6738">
          <w:pPr>
            <w:pStyle w:val="E88CEABA48BA4E3F982AF0595C5ABFAA"/>
          </w:pPr>
          <w:r w:rsidRPr="00033A03">
            <w:rPr>
              <w:rStyle w:val="Tekstvantijdelijkeaanduiding"/>
            </w:rPr>
            <w:t>Klik of tik om tekst in te voeren.</w:t>
          </w:r>
        </w:p>
      </w:docPartBody>
    </w:docPart>
    <w:docPart>
      <w:docPartPr>
        <w:name w:val="DefaultPlaceholder_-1854013440"/>
        <w:category>
          <w:name w:val="Algemeen"/>
          <w:gallery w:val="placeholder"/>
        </w:category>
        <w:types>
          <w:type w:val="bbPlcHdr"/>
        </w:types>
        <w:behaviors>
          <w:behavior w:val="content"/>
        </w:behaviors>
        <w:guid w:val="{D1253FA2-C1B9-4480-82D4-97A7C5D5AB72}"/>
      </w:docPartPr>
      <w:docPartBody>
        <w:p w:rsidR="00000000" w:rsidRDefault="00CE6738">
          <w:r w:rsidRPr="002C284A">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F8C"/>
    <w:rsid w:val="000B0F8C"/>
    <w:rsid w:val="00CE673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CE6738"/>
    <w:rPr>
      <w:color w:val="808080"/>
    </w:rPr>
  </w:style>
  <w:style w:type="paragraph" w:customStyle="1" w:styleId="7E1E91DA6CC841DCB8E00D6B136940EC">
    <w:name w:val="7E1E91DA6CC841DCB8E00D6B136940EC"/>
    <w:rsid w:val="000B0F8C"/>
  </w:style>
  <w:style w:type="paragraph" w:customStyle="1" w:styleId="E88CEABA48BA4E3F982AF0595C5ABFAA">
    <w:name w:val="E88CEABA48BA4E3F982AF0595C5ABFAA"/>
    <w:rsid w:val="00CE67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9907C40-1F80-4046-99F4-A057AF0B0A1D}">
  <we:reference id="wa104382081" version="1.35.0.0" store="nl-NL" storeType="OMEX"/>
  <we:alternateReferences>
    <we:reference id="WA104382081" version="1.35.0.0" store="" storeType="OMEX"/>
  </we:alternateReferences>
  <we:properties>
    <we:property name="MENDELEY_CITATIONS" value="[{&quot;citationID&quot;:&quot;MENDELEY_CITATION_f77bdf07-f7f7-422a-b1b4-70ae6c42ed46&quot;,&quot;citationItems&quot;:[{&quot;id&quot;:&quot;bca8b9ee-d4b9-3148-b0d3-f83a7fdf83fe&quot;,&quot;itemData&quot;:{&quot;DOI&quot;:&quot;10.1002/mbo3.1027&quot;,&quot;ISSN&quot;:&quot;2045-8827 (Electronic)&quot;,&quot;PMID&quot;:&quot;32255275&quot;,&quot;abstract&quot;:&quot;The protein purity is generally checked using SDS-PAGE, where densitometry could be  used to quantify the protein bands. In literature, few studies have been reported using image analysis for the quantification of protein in SDS-PAGE: that is, imaged with Stain-Free™ technology. This study presents a protocol of image analysis for electrophoresis gels that allows the quantification of unknown proteins using the molecular weight markers as protein standards. Escherichia coli WK6/pHEN6 encoding the bispecific nanobody CH10-12 engineered by the Pasteur Institute of Tunisia was cultured in a bioreactor and induced with isopropyl β-D-1-thiogalactopyranoside (IPTG) at 28°C for 12 hr. Periplasmic proteins extracted by osmotic shock were purified by immobilized metal affinity chromatography (IMAC). Images of the SDS-PAGE gels were analyzed using ImageJ, and the lane profiles were obtained in grayscale and uncalibrated optical density. Protein load and peak area were linearly correlated, and optimal image processing was then performed by background subtraction using the rolling ball algorithm with radius size 250 pixels. No brightness and contrast adjustment was applied. The production of the nanobody CH10-12 was obtained through a fed-batch strategy and quantified using the band of 50 kDa in the marker as reference for 750 ng of recombinant protein. The molecular weight marker was used as a sole protein standard for protein quantification in SDS-PAGE gel images.&quot;,&quot;author&quot;:[{&quot;dropping-particle&quot;:&quot;&quot;,&quot;family&quot;:&quot;Alonso Villela&quot;,&quot;given&quot;:&quot;Susana María&quot;,&quot;non-dropping-particle&quot;:&quot;&quot;,&quot;parse-names&quot;:false,&quot;suffix&quot;:&quot;&quot;},{&quot;dropping-particle&quot;:&quot;&quot;,&quot;family&quot;:&quot;Kraïem&quot;,&quot;given&quot;:&quot;Hazar&quot;,&quot;non-dropping-particle&quot;:&quot;&quot;,&quot;parse-names&quot;:false,&quot;suffix&quot;:&quot;&quot;},{&quot;dropping-particle&quot;:&quot;&quot;,&quot;family&quot;:&quot;Bouhaouala-Zahar&quot;,&quot;given&quot;:&quot;Balkiss&quot;,&quot;non-dropping-particle&quot;:&quot;&quot;,&quot;parse-names&quot;:false,&quot;suffix&quot;:&quot;&quot;},{&quot;dropping-particle&quot;:&quot;&quot;,&quot;family&quot;:&quot;Bideaux&quot;,&quot;given&quot;:&quot;Carine&quot;,&quot;non-dropping-particle&quot;:&quot;&quot;,&quot;parse-names&quot;:false,&quot;suffix&quot;:&quot;&quot;},{&quot;dropping-particle&quot;:&quot;&quot;,&quot;family&quot;:&quot;Aceves Lara&quot;,&quot;given&quot;:&quot;César Arturo&quot;,&quot;non-dropping-particle&quot;:&quot;&quot;,&quot;parse-names&quot;:false,&quot;suffix&quot;:&quot;&quot;},{&quot;dropping-particle&quot;:&quot;&quot;,&quot;family&quot;:&quot;Fillaudeau&quot;,&quot;given&quot;:&quot;Luc&quot;,&quot;non-dropping-particle&quot;:&quot;&quot;,&quot;parse-names&quot;:false,&quot;suffix&quot;:&quot;&quot;}],&quot;container-title&quot;:&quot;MicrobiologyOpen&quot;,&quot;id&quot;:&quot;bca8b9ee-d4b9-3148-b0d3-f83a7fdf83fe&quot;,&quot;issue&quot;:&quot;6&quot;,&quot;issued&quot;:{&quot;date-parts&quot;:[[&quot;2020&quot;,&quot;6&quot;]]},&quot;language&quot;:&quot;eng&quot;,&quot;page&quot;:&quot;1175-1182&quot;,&quot;title&quot;:&quot;A protocol for recombinant protein quantification by densitometry.&quot;,&quot;type&quot;:&quot;article-journal&quot;,&quot;volume&quot;:&quot;9&quot;},&quot;uris&quot;:[&quot;http://www.mendeley.com/documents/?uuid=8d809f49-ad7e-4be3-9d4d-238bd2966b59&quot;],&quot;isTemporary&quot;:false,&quot;legacyDesktopId&quot;:&quot;8d809f49-ad7e-4be3-9d4d-238bd2966b59&quot;}],&quot;properties&quot;:{&quot;noteIndex&quot;:0},&quot;isEdited&quot;:false,&quot;manualOverride&quot;:{&quot;citeprocText&quot;:&quot;[1]&quot;,&quot;isManuallyOverridden&quot;:false,&quot;manualOverrideText&quot;:&quot;&quot;},&quot;citationTag&quot;:&quot;MENDELEY_CITATION_v3_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&quot;},{&quot;citationID&quot;:&quot;MENDELEY_CITATION_4da1bae8-0f51-4e81-8e7d-9414addd24aa&quot;,&quot;citationItems&quot;:[{&quot;id&quot;:&quot;54477009-d9d1-31e8-8cbe-d177ac58e160&quot;,&quot;itemData&quot;:{&quot;DOI&quot;:&quot;10.1093/nar/gku936&quot;,&quot;ISSN&quot;:&quot;1362-4962&quot;,&quot;abstract&quot;:&quot;The efficacy and the mutation spectrum of genome editing methods can vary substantially depending on the targeted sequence. A simple, quick assay to accurately characterize and quantify the induced mutations is therefore needed. Here we present TIDE, a method for this purpose that requires only a pair of PCR reactions and two standard capillary sequencing runs. The sequence traces are then analyzed by a specially developed decomposition algorithm that identifies the major induced mutations in the projected editing site and accurately determines their frequency in a cell population. This method is cost-effective and quick, and it provides much more detailed information than current enzyme-based assays. An interactive web tool for automated decomposition of the sequence traces is available. TIDE greatly facilitates the testing and rational design of genome editing strategies.&quot;,&quot;author&quot;:[{&quot;dropping-particle&quot;:&quot;&quot;,&quot;family&quot;:&quot;Brinkman&quot;,&quot;given&quot;:&quot;Eva K&quot;,&quot;non-dropping-particle&quot;:&quot;&quot;,&quot;parse-names&quot;:false,&quot;suffix&quot;:&quot;&quot;},{&quot;dropping-particle&quot;:&quot;&quot;,&quot;family&quot;:&quot;Chen&quot;,&quot;given&quot;:&quot;Tao&quot;,&quot;non-dropping-particle&quot;:&quot;&quot;,&quot;parse-names&quot;:false,&quot;suffix&quot;:&quot;&quot;},{&quot;dropping-particle&quot;:&quot;&quot;,&quot;family&quot;:&quot;Amendola&quot;,&quot;given&quot;:&quot;Mario&quot;,&quot;non-dropping-particle&quot;:&quot;&quot;,&quot;parse-names&quot;:false,&quot;suffix&quot;:&quot;&quot;},{&quot;dropping-particle&quot;:&quot;&quot;,&quot;family&quot;:&quot;Steensel&quot;,&quot;given&quot;:&quot;Bas&quot;,&quot;non-dropping-particle&quot;:&quot;van&quot;,&quot;parse-names&quot;:false,&quot;suffix&quot;:&quot;&quot;}],&quot;container-title&quot;:&quot;Nucleic acids research&quot;,&quot;edition&quot;:&quot;2014/10/09&quot;,&quot;id&quot;:&quot;54477009-d9d1-31e8-8cbe-d177ac58e160&quot;,&quot;issue&quot;:&quot;22&quot;,&quot;issued&quot;:{&quot;date-parts&quot;:[[&quot;2014&quot;,&quot;12&quot;,&quot;16&quot;]]},&quot;language&quot;:&quot;eng&quot;,&quot;page&quot;:&quot;e168&quot;,&quot;publisher&quot;:&quot;Oxford University Press&quot;,&quot;title&quot;:&quot;Easy quantitative assessment of genome editing by sequence trace decomposition&quot;,&quot;type&quot;:&quot;article-journal&quot;,&quot;volume&quot;:&quot;42&quot;},&quot;uris&quot;:[&quot;http://www.mendeley.com/documents/?uuid=04b1c3d0-006c-461d-8078-ae7ba82fc4e5&quot;],&quot;isTemporary&quot;:false,&quot;legacyDesktopId&quot;:&quot;04b1c3d0-006c-461d-8078-ae7ba82fc4e5&quot;}],&quot;properties&quot;:{&quot;noteIndex&quot;:0},&quot;isEdited&quot;:false,&quot;manualOverride&quot;:{&quot;citeprocText&quot;:&quot;[2]&quot;,&quot;isManuallyOverridden&quot;:false,&quot;manualOverrideText&quot;:&quot;&quot;},&quot;citationTag&quot;:&quot;MENDELEY_CITATION_v3_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&quot;}]"/>
    <we:property name="MENDELEY_CITATIONS_STYLE" value="&quot;https://www.zotero.org/styles/multidisciplinary-digital-publishing-institute&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BFDC6D11634614684F98FCB8409C1CC" ma:contentTypeVersion="13" ma:contentTypeDescription="Create a new document." ma:contentTypeScope="" ma:versionID="714b61f25ee34e3c9fcf00751af8a846">
  <xsd:schema xmlns:xsd="http://www.w3.org/2001/XMLSchema" xmlns:xs="http://www.w3.org/2001/XMLSchema" xmlns:p="http://schemas.microsoft.com/office/2006/metadata/properties" xmlns:ns3="67800a47-04b8-487c-90e9-0488138e0680" xmlns:ns4="c796f2fb-d536-4e82-83ed-627f3d372346" targetNamespace="http://schemas.microsoft.com/office/2006/metadata/properties" ma:root="true" ma:fieldsID="4842c0306913d0fddaa16ae20f59cecc" ns3:_="" ns4:_="">
    <xsd:import namespace="67800a47-04b8-487c-90e9-0488138e0680"/>
    <xsd:import namespace="c796f2fb-d536-4e82-83ed-627f3d37234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800a47-04b8-487c-90e9-0488138e06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96f2fb-d536-4e82-83ed-627f3d37234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D510A0B-7449-470C-BBDF-39D01EC889A1}">
  <ds:schemaRefs>
    <ds:schemaRef ds:uri="http://schemas.openxmlformats.org/officeDocument/2006/bibliography"/>
  </ds:schemaRefs>
</ds:datastoreItem>
</file>

<file path=customXml/itemProps2.xml><?xml version="1.0" encoding="utf-8"?>
<ds:datastoreItem xmlns:ds="http://schemas.openxmlformats.org/officeDocument/2006/customXml" ds:itemID="{D524241A-0FA1-4510-9289-346A3216B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800a47-04b8-487c-90e9-0488138e0680"/>
    <ds:schemaRef ds:uri="c796f2fb-d536-4e82-83ed-627f3d3723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686561-5DFA-4CD7-9B57-95808036A4C5}">
  <ds:schemaRefs>
    <ds:schemaRef ds:uri="http://schemas.microsoft.com/sharepoint/v3/contenttype/forms"/>
  </ds:schemaRefs>
</ds:datastoreItem>
</file>

<file path=customXml/itemProps4.xml><?xml version="1.0" encoding="utf-8"?>
<ds:datastoreItem xmlns:ds="http://schemas.openxmlformats.org/officeDocument/2006/customXml" ds:itemID="{61F56C2C-FFAF-4B03-8445-D4BDFC450D23}">
  <ds:schemaRefs>
    <ds:schemaRef ds:uri="http://schemas.microsoft.com/office/2006/metadata/properties"/>
    <ds:schemaRef ds:uri="http://purl.org/dc/elements/1.1/"/>
    <ds:schemaRef ds:uri="http://www.w3.org/XML/1998/namespace"/>
    <ds:schemaRef ds:uri="http://schemas.microsoft.com/office/infopath/2007/PartnerControls"/>
    <ds:schemaRef ds:uri="67800a47-04b8-487c-90e9-0488138e0680"/>
    <ds:schemaRef ds:uri="http://schemas.microsoft.com/office/2006/documentManagement/types"/>
    <ds:schemaRef ds:uri="http://schemas.openxmlformats.org/package/2006/metadata/core-properties"/>
    <ds:schemaRef ds:uri="c796f2fb-d536-4e82-83ed-627f3d372346"/>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2507</Words>
  <Characters>13790</Characters>
  <Application>Microsoft Office Word</Application>
  <DocSecurity>0</DocSecurity>
  <Lines>114</Lines>
  <Paragraphs>32</Paragraphs>
  <ScaleCrop>false</ScaleCrop>
  <Company/>
  <LinksUpToDate>false</LinksUpToDate>
  <CharactersWithSpaces>16265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Wilbie, D. (Danny)</dc:creator>
  <cp:keywords/>
  <dc:description/>
  <cp:lastModifiedBy>Wilbie, D. (Danny)</cp:lastModifiedBy>
  <cp:revision>3</cp:revision>
  <dcterms:created xsi:type="dcterms:W3CDTF">2021-12-07T22:08:00Z</dcterms:created>
  <dcterms:modified xsi:type="dcterms:W3CDTF">2021-12-07T22:09:00Z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0x0101008BFDC6D11634614684F98FCB8409C1CC</vt:lpwstr>
  </property>
</Properties>
</file>